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62AB" w:rsidRPr="00EA2D55" w:rsidRDefault="00FC62AB">
      <w:pPr>
        <w:jc w:val="center"/>
        <w:rPr>
          <w:rFonts w:ascii="Times New Roman" w:eastAsia="Times New Roman" w:hAnsi="Times New Roman" w:cs="Times New Roman"/>
          <w:b/>
          <w:color w:val="1F3864"/>
          <w:sz w:val="28"/>
          <w:szCs w:val="28"/>
          <w:u w:val="single"/>
        </w:rPr>
      </w:pPr>
    </w:p>
    <w:p w14:paraId="00000002" w14:textId="77777777" w:rsidR="00FC62AB" w:rsidRPr="00EA2D55" w:rsidRDefault="00623C0A">
      <w:pPr>
        <w:jc w:val="center"/>
        <w:rPr>
          <w:rFonts w:ascii="Times New Roman" w:eastAsia="Times New Roman" w:hAnsi="Times New Roman" w:cs="Times New Roman"/>
          <w:b/>
          <w:color w:val="1F3864"/>
          <w:sz w:val="28"/>
          <w:szCs w:val="28"/>
          <w:u w:val="single"/>
        </w:rPr>
      </w:pPr>
      <w:r w:rsidRPr="00EA2D55">
        <w:rPr>
          <w:rFonts w:ascii="Times New Roman" w:eastAsia="Times New Roman" w:hAnsi="Times New Roman" w:cs="Times New Roman"/>
          <w:b/>
          <w:color w:val="1F3864"/>
          <w:sz w:val="28"/>
          <w:szCs w:val="28"/>
          <w:u w:val="single"/>
        </w:rPr>
        <w:t>Material Educativo – Novo Marco Cambial</w:t>
      </w:r>
    </w:p>
    <w:p w14:paraId="00000003" w14:textId="77777777" w:rsidR="00FC62AB" w:rsidRPr="00EA2D55" w:rsidRDefault="00FC62AB">
      <w:pPr>
        <w:rPr>
          <w:rFonts w:ascii="Times New Roman" w:eastAsia="Times New Roman" w:hAnsi="Times New Roman" w:cs="Times New Roman"/>
          <w:sz w:val="24"/>
          <w:szCs w:val="24"/>
        </w:rPr>
      </w:pPr>
    </w:p>
    <w:p w14:paraId="00000004"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O BBVA Brasil Banco de Investimento S.A. (“BBVA Brasil” ou “Banco”) apresenta aos seus clientes por meio do presente material, informações relacionadas às novas regras cambiais, em vigor desde 01 de janeiro de 2023 (“Novo Marco Cambial”).</w:t>
      </w:r>
    </w:p>
    <w:p w14:paraId="00000005" w14:textId="77777777" w:rsidR="00FC62AB" w:rsidRPr="00EA2D55" w:rsidRDefault="00FC62AB">
      <w:pPr>
        <w:rPr>
          <w:rFonts w:ascii="Times New Roman" w:eastAsia="Times New Roman" w:hAnsi="Times New Roman" w:cs="Times New Roman"/>
          <w:sz w:val="24"/>
          <w:szCs w:val="24"/>
        </w:rPr>
      </w:pPr>
    </w:p>
    <w:p w14:paraId="00000006" w14:textId="77777777" w:rsidR="00FC62AB" w:rsidRPr="00EA2D55" w:rsidRDefault="00623C0A">
      <w:pPr>
        <w:numPr>
          <w:ilvl w:val="0"/>
          <w:numId w:val="1"/>
        </w:numPr>
        <w:pBdr>
          <w:top w:val="nil"/>
          <w:left w:val="nil"/>
          <w:bottom w:val="nil"/>
          <w:right w:val="nil"/>
          <w:between w:val="nil"/>
        </w:pBdr>
        <w:ind w:left="567" w:hanging="578"/>
        <w:rPr>
          <w:rFonts w:ascii="Times New Roman" w:eastAsia="Times New Roman" w:hAnsi="Times New Roman" w:cs="Times New Roman"/>
          <w:b/>
          <w:color w:val="000000"/>
          <w:sz w:val="24"/>
          <w:szCs w:val="24"/>
        </w:rPr>
      </w:pPr>
      <w:r w:rsidRPr="00EA2D55">
        <w:rPr>
          <w:rFonts w:ascii="Times New Roman" w:eastAsia="Times New Roman" w:hAnsi="Times New Roman" w:cs="Times New Roman"/>
          <w:b/>
          <w:color w:val="000000"/>
          <w:sz w:val="24"/>
          <w:szCs w:val="24"/>
        </w:rPr>
        <w:t>O mercado de câmbio brasileiro</w:t>
      </w:r>
    </w:p>
    <w:p w14:paraId="00000007"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 xml:space="preserve">O mercado de câmbio no Brasil é regulado pelo Banco Central do Brasil, que dentre outras obrigações estabelece aos bancos autorizados a operar no mercado de câmbio a responsabilidade por assegurar a fundamentação econômica da operação de câmbio e a legitimidade das partes envolvidas. </w:t>
      </w:r>
    </w:p>
    <w:p w14:paraId="00000008"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O Novo Marco Cambial racionalizou as normas que regulam a matéria, revogando dispositivos esparsos e desatualizados, concentrando na Lei 14.286 e nas Resolução do Banco Central 277 a 282 o tratamento das operações cursadas no mercado de câmbio brasileiro.</w:t>
      </w:r>
    </w:p>
    <w:p w14:paraId="00000009" w14:textId="77777777" w:rsidR="00FC62AB" w:rsidRPr="00EA2D55" w:rsidRDefault="00FC62AB">
      <w:pPr>
        <w:jc w:val="both"/>
        <w:rPr>
          <w:rFonts w:ascii="Times New Roman" w:eastAsia="Times New Roman" w:hAnsi="Times New Roman" w:cs="Times New Roman"/>
          <w:sz w:val="24"/>
          <w:szCs w:val="24"/>
        </w:rPr>
      </w:pPr>
    </w:p>
    <w:p w14:paraId="0000000A" w14:textId="77777777" w:rsidR="00FC62AB" w:rsidRPr="00EA2D55" w:rsidRDefault="00623C0A">
      <w:pPr>
        <w:numPr>
          <w:ilvl w:val="1"/>
          <w:numId w:val="1"/>
        </w:numPr>
        <w:pBdr>
          <w:top w:val="nil"/>
          <w:left w:val="nil"/>
          <w:bottom w:val="nil"/>
          <w:right w:val="nil"/>
          <w:between w:val="nil"/>
        </w:pBdr>
        <w:ind w:hanging="644"/>
        <w:jc w:val="both"/>
        <w:rPr>
          <w:rFonts w:ascii="Times New Roman" w:eastAsia="Times New Roman" w:hAnsi="Times New Roman" w:cs="Times New Roman"/>
          <w:b/>
          <w:color w:val="000000"/>
          <w:sz w:val="24"/>
          <w:szCs w:val="24"/>
        </w:rPr>
      </w:pPr>
      <w:r w:rsidRPr="00EA2D55">
        <w:rPr>
          <w:rFonts w:ascii="Times New Roman" w:eastAsia="Times New Roman" w:hAnsi="Times New Roman" w:cs="Times New Roman"/>
          <w:b/>
          <w:color w:val="000000"/>
          <w:sz w:val="24"/>
          <w:szCs w:val="24"/>
        </w:rPr>
        <w:t xml:space="preserve">Classificação cambial  </w:t>
      </w:r>
    </w:p>
    <w:p w14:paraId="0000000B"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Todas as operações de câmbio são registradas perante o Banco Central do Brasil e devem ser classificadas sob determinada natureza cambial a depender da transação subjacente e/ou justificativa da operação de câmbio, seguindo os códigos disponibilizados pelo Banco Central do Brasil. É de exclusiva responsabilidade do cliente a atribuição da natureza cambial e o BBVA Brasil prestará o suporte necessário para que o cliente faça a adequada classificação.</w:t>
      </w:r>
    </w:p>
    <w:p w14:paraId="0000000C" w14:textId="77777777" w:rsidR="00FC62AB" w:rsidRPr="00EA2D55" w:rsidRDefault="00FC62AB">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0D" w14:textId="77777777" w:rsidR="00FC62AB" w:rsidRPr="00EA2D55" w:rsidRDefault="00623C0A">
      <w:pPr>
        <w:numPr>
          <w:ilvl w:val="1"/>
          <w:numId w:val="1"/>
        </w:numPr>
        <w:pBdr>
          <w:top w:val="nil"/>
          <w:left w:val="nil"/>
          <w:bottom w:val="nil"/>
          <w:right w:val="nil"/>
          <w:between w:val="nil"/>
        </w:pBdr>
        <w:ind w:hanging="644"/>
        <w:rPr>
          <w:rFonts w:ascii="Times New Roman" w:eastAsia="Times New Roman" w:hAnsi="Times New Roman" w:cs="Times New Roman"/>
          <w:b/>
          <w:color w:val="000000"/>
          <w:sz w:val="24"/>
          <w:szCs w:val="24"/>
        </w:rPr>
      </w:pPr>
      <w:r w:rsidRPr="00EA2D55">
        <w:rPr>
          <w:rFonts w:ascii="Times New Roman" w:eastAsia="Times New Roman" w:hAnsi="Times New Roman" w:cs="Times New Roman"/>
          <w:b/>
          <w:color w:val="000000"/>
          <w:sz w:val="24"/>
          <w:szCs w:val="24"/>
        </w:rPr>
        <w:t>Documentação Suporte</w:t>
      </w:r>
    </w:p>
    <w:p w14:paraId="0000000E" w14:textId="2FCDAF0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Em razão da responsabilidade do BBVA Brasil em constatar a fundamentação econômica da operação de câmbio e a legitimidade das partes, o Banco pode requerer a apresentação de informações e documentos como condição para cursar a operação de câmbio. Uma vez que a revisão dos termos da operação e a documentação, quando requerida, esteja concluída e em boa ordem, a equipe de câmbio prosseguirá com a execução da operação.</w:t>
      </w:r>
    </w:p>
    <w:p w14:paraId="0000000F" w14:textId="77777777" w:rsidR="00FC62AB" w:rsidRPr="00EA2D55" w:rsidRDefault="00FC62AB">
      <w:pPr>
        <w:jc w:val="both"/>
        <w:rPr>
          <w:rFonts w:ascii="Times New Roman" w:eastAsia="Times New Roman" w:hAnsi="Times New Roman" w:cs="Times New Roman"/>
          <w:sz w:val="24"/>
          <w:szCs w:val="24"/>
        </w:rPr>
      </w:pPr>
    </w:p>
    <w:p w14:paraId="00000010" w14:textId="77777777" w:rsidR="00FC62AB" w:rsidRPr="00EA2D55" w:rsidRDefault="00623C0A">
      <w:pPr>
        <w:jc w:val="both"/>
        <w:rPr>
          <w:rFonts w:ascii="Times New Roman" w:eastAsia="Times New Roman" w:hAnsi="Times New Roman" w:cs="Times New Roman"/>
          <w:b/>
          <w:sz w:val="24"/>
          <w:szCs w:val="24"/>
        </w:rPr>
      </w:pPr>
      <w:r w:rsidRPr="00EA2D55">
        <w:rPr>
          <w:rFonts w:ascii="Times New Roman" w:eastAsia="Times New Roman" w:hAnsi="Times New Roman" w:cs="Times New Roman"/>
          <w:sz w:val="24"/>
          <w:szCs w:val="24"/>
        </w:rPr>
        <w:t xml:space="preserve">A documentação suporte deve ser enviada para </w:t>
      </w:r>
      <w:sdt>
        <w:sdtPr>
          <w:rPr>
            <w:rFonts w:ascii="Times New Roman" w:hAnsi="Times New Roman" w:cs="Times New Roman"/>
          </w:rPr>
          <w:tag w:val="goog_rdk_0"/>
          <w:id w:val="279450755"/>
        </w:sdtPr>
        <w:sdtEndPr/>
        <w:sdtContent/>
      </w:sdt>
      <w:r w:rsidRPr="00EA2D55">
        <w:rPr>
          <w:rFonts w:ascii="Times New Roman" w:eastAsia="Times New Roman" w:hAnsi="Times New Roman" w:cs="Times New Roman"/>
          <w:b/>
          <w:sz w:val="24"/>
          <w:szCs w:val="24"/>
        </w:rPr>
        <w:t>cambio.ops.brasil@bbva.com</w:t>
      </w:r>
      <w:r w:rsidRPr="00EA2D55">
        <w:rPr>
          <w:rFonts w:ascii="Times New Roman" w:eastAsia="Times New Roman" w:hAnsi="Times New Roman" w:cs="Times New Roman"/>
          <w:b/>
          <w:sz w:val="24"/>
          <w:szCs w:val="24"/>
        </w:rPr>
        <w:tab/>
      </w:r>
    </w:p>
    <w:p w14:paraId="00000011" w14:textId="77777777" w:rsidR="00FC62AB" w:rsidRPr="00EA2D55" w:rsidRDefault="00FC62AB">
      <w:pPr>
        <w:tabs>
          <w:tab w:val="left" w:pos="1125"/>
        </w:tabs>
        <w:jc w:val="both"/>
        <w:rPr>
          <w:rFonts w:ascii="Times New Roman" w:eastAsia="Times New Roman" w:hAnsi="Times New Roman" w:cs="Times New Roman"/>
          <w:b/>
          <w:sz w:val="24"/>
          <w:szCs w:val="24"/>
        </w:rPr>
      </w:pPr>
    </w:p>
    <w:p w14:paraId="00000012" w14:textId="47271665" w:rsidR="00FC62AB" w:rsidRDefault="00FC62AB">
      <w:pPr>
        <w:tabs>
          <w:tab w:val="left" w:pos="1125"/>
        </w:tabs>
        <w:jc w:val="both"/>
        <w:rPr>
          <w:rFonts w:ascii="Times New Roman" w:eastAsia="Times New Roman" w:hAnsi="Times New Roman" w:cs="Times New Roman"/>
          <w:b/>
          <w:sz w:val="24"/>
          <w:szCs w:val="24"/>
        </w:rPr>
      </w:pPr>
    </w:p>
    <w:p w14:paraId="41930339" w14:textId="77777777" w:rsidR="00B54FE9" w:rsidRPr="00EA2D55" w:rsidRDefault="00B54FE9">
      <w:pPr>
        <w:tabs>
          <w:tab w:val="left" w:pos="1125"/>
        </w:tabs>
        <w:jc w:val="both"/>
        <w:rPr>
          <w:rFonts w:ascii="Times New Roman" w:eastAsia="Times New Roman" w:hAnsi="Times New Roman" w:cs="Times New Roman"/>
          <w:b/>
          <w:sz w:val="24"/>
          <w:szCs w:val="24"/>
        </w:rPr>
      </w:pPr>
      <w:bookmarkStart w:id="0" w:name="_GoBack"/>
      <w:bookmarkEnd w:id="0"/>
    </w:p>
    <w:p w14:paraId="00000013" w14:textId="77777777" w:rsidR="00FC62AB" w:rsidRPr="00EA2D55" w:rsidRDefault="00623C0A">
      <w:pPr>
        <w:numPr>
          <w:ilvl w:val="1"/>
          <w:numId w:val="1"/>
        </w:numPr>
        <w:pBdr>
          <w:top w:val="nil"/>
          <w:left w:val="nil"/>
          <w:bottom w:val="nil"/>
          <w:right w:val="nil"/>
          <w:between w:val="nil"/>
        </w:pBdr>
        <w:ind w:hanging="644"/>
        <w:jc w:val="both"/>
        <w:rPr>
          <w:rFonts w:ascii="Times New Roman" w:eastAsia="Times New Roman" w:hAnsi="Times New Roman" w:cs="Times New Roman"/>
          <w:b/>
          <w:color w:val="000000"/>
          <w:sz w:val="24"/>
          <w:szCs w:val="24"/>
        </w:rPr>
      </w:pPr>
      <w:r w:rsidRPr="00EA2D55">
        <w:rPr>
          <w:rFonts w:ascii="Times New Roman" w:eastAsia="Times New Roman" w:hAnsi="Times New Roman" w:cs="Times New Roman"/>
          <w:b/>
          <w:color w:val="000000"/>
          <w:sz w:val="24"/>
          <w:szCs w:val="24"/>
        </w:rPr>
        <w:lastRenderedPageBreak/>
        <w:t xml:space="preserve">Formalização da Operação  </w:t>
      </w:r>
    </w:p>
    <w:p w14:paraId="00000014"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 xml:space="preserve">O Novo Marco Cambial dispensou a emissão de contrato a cada operação, ficando a critério de cada banco de câmbio definir o formato a ser utilizado para formalizar as operações, desde que respeitadas as disposições da regulamentação. </w:t>
      </w:r>
    </w:p>
    <w:p w14:paraId="00000015"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No intuito de simplificar a dinâmica de contratação das operações, o BBVA Brasil optou por formalizar as operações por meio de um contrato geral, a ser assinado uma única vez, e emitir confirmações específicas a cada operação de câmbio celebrada. Para as operações de câmbio à vista a assinatura na confirmação é dispensada. Já para as operações de câmbio futuro, inclusive com adiantamento da moeda nacional, a assinatura é requerida, por meio de representantes e/ou procuradores com poderes para representar o cliente.</w:t>
      </w:r>
    </w:p>
    <w:p w14:paraId="00000016" w14:textId="77777777" w:rsidR="00FC62AB" w:rsidRPr="00EA2D55" w:rsidRDefault="00FC62AB">
      <w:pPr>
        <w:jc w:val="both"/>
        <w:rPr>
          <w:rFonts w:ascii="Times New Roman" w:eastAsia="Times New Roman" w:hAnsi="Times New Roman" w:cs="Times New Roman"/>
          <w:sz w:val="24"/>
          <w:szCs w:val="24"/>
        </w:rPr>
      </w:pPr>
    </w:p>
    <w:p w14:paraId="00000017" w14:textId="77777777" w:rsidR="00FC62AB" w:rsidRPr="00EA2D55" w:rsidRDefault="00623C0A">
      <w:pPr>
        <w:numPr>
          <w:ilvl w:val="0"/>
          <w:numId w:val="1"/>
        </w:numPr>
        <w:pBdr>
          <w:top w:val="nil"/>
          <w:left w:val="nil"/>
          <w:bottom w:val="nil"/>
          <w:right w:val="nil"/>
          <w:between w:val="nil"/>
        </w:pBdr>
        <w:ind w:left="0" w:firstLine="0"/>
        <w:jc w:val="both"/>
        <w:rPr>
          <w:rFonts w:ascii="Times New Roman" w:eastAsia="Times New Roman" w:hAnsi="Times New Roman" w:cs="Times New Roman"/>
          <w:b/>
          <w:color w:val="000000"/>
          <w:sz w:val="24"/>
          <w:szCs w:val="24"/>
        </w:rPr>
      </w:pPr>
      <w:r w:rsidRPr="00EA2D55">
        <w:rPr>
          <w:rFonts w:ascii="Times New Roman" w:eastAsia="Times New Roman" w:hAnsi="Times New Roman" w:cs="Times New Roman"/>
          <w:b/>
          <w:color w:val="000000"/>
          <w:sz w:val="24"/>
          <w:szCs w:val="24"/>
        </w:rPr>
        <w:t>Naturezas Cambiais</w:t>
      </w:r>
    </w:p>
    <w:p w14:paraId="00000018"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O Novo Marco Cambial criou uma lista simplificada de códigos para operações cambiais de até USD 50,000,00 e outra lista de códigos específicos para operações acima de USD 50,000,00. A utilização da lista simplificada é uma faculdade do cliente.</w:t>
      </w:r>
    </w:p>
    <w:p w14:paraId="00000019"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O Banco Central do Brasil disponibiliza em seu site na internet um material chamado “Notas Auxiliares Para classificação de Operação de Câmbio” com orientações sobre a natureza mais adequada (para a lista simplificada ou completa) a ser utilizada em cada situação:</w:t>
      </w:r>
    </w:p>
    <w:p w14:paraId="0000001A" w14:textId="77777777" w:rsidR="00FC62AB" w:rsidRPr="00EA2D55" w:rsidRDefault="002F4CCA">
      <w:pPr>
        <w:rPr>
          <w:rFonts w:ascii="Times New Roman" w:eastAsia="Times New Roman" w:hAnsi="Times New Roman" w:cs="Times New Roman"/>
          <w:sz w:val="24"/>
          <w:szCs w:val="24"/>
        </w:rPr>
      </w:pPr>
      <w:hyperlink r:id="rId9">
        <w:r w:rsidR="00623C0A" w:rsidRPr="00EA2D55">
          <w:rPr>
            <w:rFonts w:ascii="Times New Roman" w:eastAsia="Times New Roman" w:hAnsi="Times New Roman" w:cs="Times New Roman"/>
            <w:color w:val="0563C1"/>
            <w:sz w:val="24"/>
            <w:szCs w:val="24"/>
            <w:u w:val="single"/>
          </w:rPr>
          <w:t>Classificação de Operações de Câmbio – Banco Central do Brasil</w:t>
        </w:r>
      </w:hyperlink>
      <w:r w:rsidR="00623C0A" w:rsidRPr="00EA2D55">
        <w:rPr>
          <w:rFonts w:ascii="Times New Roman" w:eastAsia="Times New Roman" w:hAnsi="Times New Roman" w:cs="Times New Roman"/>
          <w:sz w:val="24"/>
          <w:szCs w:val="24"/>
        </w:rPr>
        <w:t xml:space="preserve"> </w:t>
      </w:r>
    </w:p>
    <w:p w14:paraId="0000001B" w14:textId="77777777" w:rsidR="00FC62AB" w:rsidRPr="00EA2D55" w:rsidRDefault="002F4CCA">
      <w:pPr>
        <w:numPr>
          <w:ilvl w:val="0"/>
          <w:numId w:val="4"/>
        </w:numPr>
        <w:pBdr>
          <w:top w:val="nil"/>
          <w:left w:val="nil"/>
          <w:bottom w:val="nil"/>
          <w:right w:val="nil"/>
          <w:between w:val="nil"/>
        </w:pBdr>
        <w:spacing w:after="0"/>
        <w:rPr>
          <w:rFonts w:ascii="Times New Roman" w:eastAsia="Times New Roman" w:hAnsi="Times New Roman" w:cs="Times New Roman"/>
          <w:color w:val="000000"/>
        </w:rPr>
      </w:pPr>
      <w:hyperlink r:id="rId10">
        <w:r w:rsidR="00623C0A" w:rsidRPr="00EA2D55">
          <w:rPr>
            <w:rFonts w:ascii="Times New Roman" w:eastAsia="Times New Roman" w:hAnsi="Times New Roman" w:cs="Times New Roman"/>
            <w:color w:val="0563C1"/>
            <w:u w:val="single"/>
          </w:rPr>
          <w:t>Notas auxiliares para classificação de operação de câmbio de até US$ 50 mil (a partir de 01/11/2023)</w:t>
        </w:r>
      </w:hyperlink>
    </w:p>
    <w:p w14:paraId="0000001C" w14:textId="77777777" w:rsidR="00FC62AB" w:rsidRPr="00EA2D55" w:rsidRDefault="00FC62AB">
      <w:pPr>
        <w:pBdr>
          <w:top w:val="nil"/>
          <w:left w:val="nil"/>
          <w:bottom w:val="nil"/>
          <w:right w:val="nil"/>
          <w:between w:val="nil"/>
        </w:pBdr>
        <w:spacing w:after="0"/>
        <w:ind w:left="1428"/>
        <w:rPr>
          <w:rFonts w:ascii="Times New Roman" w:eastAsia="Times New Roman" w:hAnsi="Times New Roman" w:cs="Times New Roman"/>
          <w:color w:val="000000"/>
        </w:rPr>
      </w:pPr>
    </w:p>
    <w:p w14:paraId="0000001D" w14:textId="77777777" w:rsidR="00FC62AB" w:rsidRPr="00EA2D55" w:rsidRDefault="002F4CCA">
      <w:pPr>
        <w:numPr>
          <w:ilvl w:val="0"/>
          <w:numId w:val="4"/>
        </w:numPr>
        <w:pBdr>
          <w:top w:val="nil"/>
          <w:left w:val="nil"/>
          <w:bottom w:val="nil"/>
          <w:right w:val="nil"/>
          <w:between w:val="nil"/>
        </w:pBdr>
        <w:rPr>
          <w:rFonts w:ascii="Times New Roman" w:eastAsia="Times New Roman" w:hAnsi="Times New Roman" w:cs="Times New Roman"/>
          <w:color w:val="000000"/>
        </w:rPr>
      </w:pPr>
      <w:hyperlink r:id="rId11">
        <w:r w:rsidR="00623C0A" w:rsidRPr="00EA2D55">
          <w:rPr>
            <w:rFonts w:ascii="Times New Roman" w:eastAsia="Times New Roman" w:hAnsi="Times New Roman" w:cs="Times New Roman"/>
            <w:color w:val="0563C1"/>
            <w:u w:val="single"/>
          </w:rPr>
          <w:t>Notas auxiliares para classificação de operação de câmbio de mais de US$ 50 mil (a partir de 01/11/2023)</w:t>
        </w:r>
      </w:hyperlink>
    </w:p>
    <w:p w14:paraId="0000001E" w14:textId="77777777" w:rsidR="00FC62AB" w:rsidRPr="00EA2D55" w:rsidRDefault="00FC62AB">
      <w:pPr>
        <w:rPr>
          <w:rFonts w:ascii="Times New Roman" w:eastAsia="Times New Roman" w:hAnsi="Times New Roman" w:cs="Times New Roman"/>
          <w:sz w:val="24"/>
          <w:szCs w:val="24"/>
        </w:rPr>
      </w:pPr>
    </w:p>
    <w:p w14:paraId="0000001F" w14:textId="77777777" w:rsidR="00FC62AB" w:rsidRPr="00EA2D55" w:rsidRDefault="00623C0A">
      <w:pPr>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Abaixo o BBVA Brasil compartilha exemplos</w:t>
      </w:r>
      <w:r w:rsidRPr="00EA2D55">
        <w:rPr>
          <w:rFonts w:ascii="Times New Roman" w:eastAsia="Times New Roman" w:hAnsi="Times New Roman" w:cs="Times New Roman"/>
          <w:sz w:val="24"/>
          <w:szCs w:val="24"/>
          <w:vertAlign w:val="superscript"/>
        </w:rPr>
        <w:footnoteReference w:id="1"/>
      </w:r>
      <w:r w:rsidRPr="00EA2D55">
        <w:rPr>
          <w:rFonts w:ascii="Times New Roman" w:eastAsia="Times New Roman" w:hAnsi="Times New Roman" w:cs="Times New Roman"/>
          <w:sz w:val="24"/>
          <w:szCs w:val="24"/>
        </w:rPr>
        <w:t xml:space="preserve"> de documentação exigida para as naturezas cambiais mais comuns:</w:t>
      </w:r>
    </w:p>
    <w:tbl>
      <w:tblPr>
        <w:tblStyle w:val="a"/>
        <w:tblW w:w="8458" w:type="dxa"/>
        <w:tblLayout w:type="fixed"/>
        <w:tblLook w:val="0400" w:firstRow="0" w:lastRow="0" w:firstColumn="0" w:lastColumn="0" w:noHBand="0" w:noVBand="1"/>
      </w:tblPr>
      <w:tblGrid>
        <w:gridCol w:w="1537"/>
        <w:gridCol w:w="1275"/>
        <w:gridCol w:w="851"/>
        <w:gridCol w:w="4795"/>
      </w:tblGrid>
      <w:tr w:rsidR="00FC62AB" w:rsidRPr="00EA2D55" w14:paraId="572B68E7" w14:textId="77777777" w:rsidTr="00AA7D8C">
        <w:trPr>
          <w:trHeight w:val="510"/>
        </w:trPr>
        <w:tc>
          <w:tcPr>
            <w:tcW w:w="1537" w:type="dxa"/>
            <w:tcBorders>
              <w:top w:val="single" w:sz="18" w:space="0" w:color="FFFFFF"/>
              <w:left w:val="single" w:sz="18" w:space="0" w:color="FFFFFF"/>
              <w:bottom w:val="single" w:sz="18" w:space="0" w:color="FFFFFF"/>
              <w:right w:val="single" w:sz="18" w:space="0" w:color="FFFFFF"/>
            </w:tcBorders>
            <w:shd w:val="clear" w:color="auto" w:fill="0B5394"/>
            <w:tcMar>
              <w:top w:w="0" w:type="dxa"/>
              <w:left w:w="45" w:type="dxa"/>
              <w:bottom w:w="0" w:type="dxa"/>
              <w:right w:w="45" w:type="dxa"/>
            </w:tcMar>
            <w:vAlign w:val="center"/>
          </w:tcPr>
          <w:p w14:paraId="00000020" w14:textId="77777777" w:rsidR="00FC62AB" w:rsidRPr="00EA2D55" w:rsidRDefault="00623C0A">
            <w:pPr>
              <w:spacing w:after="0" w:line="240" w:lineRule="auto"/>
              <w:jc w:val="center"/>
              <w:rPr>
                <w:rFonts w:ascii="Times New Roman" w:eastAsia="Lato" w:hAnsi="Times New Roman" w:cs="Times New Roman"/>
                <w:b/>
                <w:color w:val="FFFFFF"/>
                <w:sz w:val="20"/>
                <w:szCs w:val="20"/>
              </w:rPr>
            </w:pPr>
            <w:r w:rsidRPr="00EA2D55">
              <w:rPr>
                <w:rFonts w:ascii="Times New Roman" w:eastAsia="Lato" w:hAnsi="Times New Roman" w:cs="Times New Roman"/>
                <w:b/>
                <w:color w:val="FFFFFF"/>
                <w:sz w:val="20"/>
                <w:szCs w:val="20"/>
              </w:rPr>
              <w:t>Código</w:t>
            </w:r>
          </w:p>
        </w:tc>
        <w:tc>
          <w:tcPr>
            <w:tcW w:w="1275" w:type="dxa"/>
            <w:tcBorders>
              <w:top w:val="single" w:sz="18" w:space="0" w:color="FFFFFF"/>
              <w:left w:val="single" w:sz="6" w:space="0" w:color="CCCCCC"/>
              <w:bottom w:val="single" w:sz="18" w:space="0" w:color="FFFFFF"/>
              <w:right w:val="single" w:sz="18" w:space="0" w:color="FFFFFF"/>
            </w:tcBorders>
            <w:shd w:val="clear" w:color="auto" w:fill="0B5394"/>
            <w:tcMar>
              <w:top w:w="0" w:type="dxa"/>
              <w:left w:w="45" w:type="dxa"/>
              <w:bottom w:w="0" w:type="dxa"/>
              <w:right w:w="45" w:type="dxa"/>
            </w:tcMar>
            <w:vAlign w:val="center"/>
          </w:tcPr>
          <w:p w14:paraId="00000021" w14:textId="77777777" w:rsidR="00FC62AB" w:rsidRPr="00EA2D55" w:rsidRDefault="00623C0A">
            <w:pPr>
              <w:spacing w:after="0" w:line="240" w:lineRule="auto"/>
              <w:jc w:val="center"/>
              <w:rPr>
                <w:rFonts w:ascii="Times New Roman" w:eastAsia="Lato" w:hAnsi="Times New Roman" w:cs="Times New Roman"/>
                <w:b/>
                <w:color w:val="FFFFFF"/>
                <w:sz w:val="20"/>
                <w:szCs w:val="20"/>
              </w:rPr>
            </w:pPr>
            <w:r w:rsidRPr="00EA2D55">
              <w:rPr>
                <w:rFonts w:ascii="Times New Roman" w:eastAsia="Lato" w:hAnsi="Times New Roman" w:cs="Times New Roman"/>
                <w:b/>
                <w:color w:val="FFFFFF"/>
                <w:sz w:val="20"/>
                <w:szCs w:val="20"/>
              </w:rPr>
              <w:t>Descrição</w:t>
            </w:r>
          </w:p>
        </w:tc>
        <w:tc>
          <w:tcPr>
            <w:tcW w:w="851" w:type="dxa"/>
            <w:tcBorders>
              <w:top w:val="single" w:sz="18" w:space="0" w:color="FFFFFF"/>
              <w:left w:val="single" w:sz="6" w:space="0" w:color="CCCCCC"/>
              <w:bottom w:val="single" w:sz="18" w:space="0" w:color="FFFFFF"/>
              <w:right w:val="single" w:sz="18" w:space="0" w:color="FFFFFF"/>
            </w:tcBorders>
            <w:shd w:val="clear" w:color="auto" w:fill="0B5394"/>
            <w:tcMar>
              <w:top w:w="0" w:type="dxa"/>
              <w:left w:w="45" w:type="dxa"/>
              <w:bottom w:w="0" w:type="dxa"/>
              <w:right w:w="45" w:type="dxa"/>
            </w:tcMar>
            <w:vAlign w:val="center"/>
          </w:tcPr>
          <w:p w14:paraId="00000022" w14:textId="77777777" w:rsidR="00FC62AB" w:rsidRPr="00EA2D55" w:rsidRDefault="00623C0A">
            <w:pPr>
              <w:spacing w:after="0" w:line="240" w:lineRule="auto"/>
              <w:jc w:val="center"/>
              <w:rPr>
                <w:rFonts w:ascii="Times New Roman" w:eastAsia="Lato" w:hAnsi="Times New Roman" w:cs="Times New Roman"/>
                <w:b/>
                <w:color w:val="FFFFFF"/>
                <w:sz w:val="20"/>
                <w:szCs w:val="20"/>
              </w:rPr>
            </w:pPr>
            <w:r w:rsidRPr="00EA2D55">
              <w:rPr>
                <w:rFonts w:ascii="Times New Roman" w:eastAsia="Lato" w:hAnsi="Times New Roman" w:cs="Times New Roman"/>
                <w:b/>
                <w:color w:val="FFFFFF"/>
                <w:sz w:val="20"/>
                <w:szCs w:val="20"/>
              </w:rPr>
              <w:t xml:space="preserve">Posição </w:t>
            </w:r>
          </w:p>
        </w:tc>
        <w:tc>
          <w:tcPr>
            <w:tcW w:w="4795" w:type="dxa"/>
            <w:tcBorders>
              <w:top w:val="single" w:sz="18" w:space="0" w:color="FFFFFF"/>
              <w:left w:val="single" w:sz="6" w:space="0" w:color="CCCCCC"/>
              <w:bottom w:val="single" w:sz="18" w:space="0" w:color="FFFFFF"/>
              <w:right w:val="single" w:sz="18" w:space="0" w:color="FFFFFF"/>
            </w:tcBorders>
            <w:shd w:val="clear" w:color="auto" w:fill="0B5394"/>
            <w:tcMar>
              <w:top w:w="0" w:type="dxa"/>
              <w:left w:w="45" w:type="dxa"/>
              <w:bottom w:w="0" w:type="dxa"/>
              <w:right w:w="45" w:type="dxa"/>
            </w:tcMar>
            <w:vAlign w:val="center"/>
          </w:tcPr>
          <w:p w14:paraId="00000023" w14:textId="77777777" w:rsidR="00FC62AB" w:rsidRPr="00EA2D55" w:rsidRDefault="00623C0A">
            <w:pPr>
              <w:spacing w:after="0" w:line="240" w:lineRule="auto"/>
              <w:jc w:val="center"/>
              <w:rPr>
                <w:rFonts w:ascii="Times New Roman" w:eastAsia="Lato" w:hAnsi="Times New Roman" w:cs="Times New Roman"/>
                <w:b/>
                <w:color w:val="FFFFFF"/>
                <w:sz w:val="20"/>
                <w:szCs w:val="20"/>
              </w:rPr>
            </w:pPr>
            <w:r w:rsidRPr="00EA2D55">
              <w:rPr>
                <w:rFonts w:ascii="Times New Roman" w:eastAsia="Lato" w:hAnsi="Times New Roman" w:cs="Times New Roman"/>
                <w:b/>
                <w:color w:val="FFFFFF"/>
                <w:sz w:val="20"/>
                <w:szCs w:val="20"/>
              </w:rPr>
              <w:t xml:space="preserve">Documentos Requeridos </w:t>
            </w:r>
          </w:p>
        </w:tc>
      </w:tr>
      <w:tr w:rsidR="00FC62AB" w:rsidRPr="00EA2D55" w14:paraId="7902F46A" w14:textId="77777777" w:rsidTr="00AA7D8C">
        <w:trPr>
          <w:trHeight w:val="2280"/>
        </w:trPr>
        <w:tc>
          <w:tcPr>
            <w:tcW w:w="1537" w:type="dxa"/>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6F24B482" w14:textId="624B95E2" w:rsidR="007A695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lastRenderedPageBreak/>
              <w:t>121</w:t>
            </w:r>
            <w:r w:rsidR="004108F9" w:rsidRPr="00EA2D55">
              <w:rPr>
                <w:rFonts w:ascii="Times New Roman" w:eastAsia="Lato" w:hAnsi="Times New Roman" w:cs="Times New Roman"/>
                <w:b/>
                <w:sz w:val="20"/>
                <w:szCs w:val="20"/>
              </w:rPr>
              <w:t>22 (antecipado</w:t>
            </w:r>
            <w:r w:rsidR="00AA7D8C" w:rsidRPr="00EA2D55">
              <w:rPr>
                <w:rFonts w:ascii="Times New Roman" w:eastAsia="Lato" w:hAnsi="Times New Roman" w:cs="Times New Roman"/>
                <w:b/>
                <w:sz w:val="20"/>
                <w:szCs w:val="20"/>
                <w:vertAlign w:val="superscript"/>
              </w:rPr>
              <w:t>2</w:t>
            </w:r>
            <w:r w:rsidR="004108F9" w:rsidRPr="00EA2D55">
              <w:rPr>
                <w:rFonts w:ascii="Times New Roman" w:eastAsia="Lato" w:hAnsi="Times New Roman" w:cs="Times New Roman"/>
                <w:b/>
                <w:sz w:val="20"/>
                <w:szCs w:val="20"/>
              </w:rPr>
              <w:t>)</w:t>
            </w:r>
          </w:p>
          <w:p w14:paraId="54F534FB" w14:textId="77777777" w:rsidR="004108F9" w:rsidRPr="00EA2D55" w:rsidRDefault="004108F9">
            <w:pPr>
              <w:spacing w:after="0" w:line="240" w:lineRule="auto"/>
              <w:jc w:val="center"/>
              <w:rPr>
                <w:rFonts w:ascii="Times New Roman" w:eastAsia="Lato" w:hAnsi="Times New Roman" w:cs="Times New Roman"/>
                <w:b/>
                <w:sz w:val="20"/>
                <w:szCs w:val="20"/>
              </w:rPr>
            </w:pPr>
          </w:p>
          <w:p w14:paraId="02F97B37" w14:textId="410D5D39" w:rsidR="004108F9" w:rsidRPr="00EA2D55" w:rsidRDefault="007A695B">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1</w:t>
            </w:r>
            <w:r w:rsidR="00623C0A" w:rsidRPr="00EA2D55">
              <w:rPr>
                <w:rFonts w:ascii="Times New Roman" w:eastAsia="Lato" w:hAnsi="Times New Roman" w:cs="Times New Roman"/>
                <w:b/>
                <w:sz w:val="20"/>
                <w:szCs w:val="20"/>
              </w:rPr>
              <w:t>2108</w:t>
            </w:r>
          </w:p>
          <w:p w14:paraId="00000024" w14:textId="09C582EC" w:rsidR="00FC62AB" w:rsidRPr="00EA2D55" w:rsidRDefault="004108F9">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(posterior)</w:t>
            </w:r>
          </w:p>
        </w:tc>
        <w:tc>
          <w:tcPr>
            <w:tcW w:w="127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25" w14:textId="20847D03"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b/>
                <w:color w:val="000000"/>
                <w:sz w:val="20"/>
                <w:szCs w:val="20"/>
              </w:rPr>
              <w:t>Exportação</w:t>
            </w:r>
            <w:r w:rsidRPr="00EA2D55">
              <w:rPr>
                <w:rFonts w:ascii="Times New Roman" w:eastAsia="Lato" w:hAnsi="Times New Roman" w:cs="Times New Roman"/>
                <w:color w:val="000000"/>
                <w:sz w:val="20"/>
                <w:szCs w:val="20"/>
              </w:rPr>
              <w:br/>
            </w:r>
            <w:r w:rsidRPr="00EA2D55">
              <w:rPr>
                <w:rFonts w:ascii="Times New Roman" w:eastAsia="Lato" w:hAnsi="Times New Roman" w:cs="Times New Roman"/>
                <w:color w:val="000000"/>
                <w:sz w:val="20"/>
                <w:szCs w:val="20"/>
              </w:rPr>
              <w:br/>
              <w:t>Até 360 dias</w:t>
            </w: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26"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Entrada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27" w14:textId="38BE3231"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 xml:space="preserve">1. DU-E (Declaração Unificada de Exportação) com Chave de acesso e o valor a ser aplicado OU planilha ou documento equivalente com o número da DU-E (Declaração Unificada de Exportação) com Chave de acesso e valor a ser aplicado; </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r>
            <w:sdt>
              <w:sdtPr>
                <w:rPr>
                  <w:rFonts w:ascii="Times New Roman" w:hAnsi="Times New Roman" w:cs="Times New Roman"/>
                </w:rPr>
                <w:tag w:val="goog_rdk_2"/>
                <w:id w:val="331517135"/>
              </w:sdtPr>
              <w:sdtEndPr/>
              <w:sdtContent/>
            </w:sdt>
            <w:r w:rsidRPr="00EA2D55">
              <w:rPr>
                <w:rFonts w:ascii="Times New Roman" w:eastAsia="Lato" w:hAnsi="Times New Roman" w:cs="Times New Roman"/>
                <w:sz w:val="20"/>
                <w:szCs w:val="20"/>
              </w:rPr>
              <w:t xml:space="preserve">2. </w:t>
            </w:r>
            <w:r w:rsidR="004108F9" w:rsidRPr="00EA2D55">
              <w:rPr>
                <w:rFonts w:ascii="Times New Roman" w:eastAsia="Lato" w:hAnsi="Times New Roman" w:cs="Times New Roman"/>
                <w:sz w:val="20"/>
                <w:szCs w:val="20"/>
              </w:rPr>
              <w:t xml:space="preserve">Para recebimento antecipado, </w:t>
            </w:r>
            <w:proofErr w:type="gramStart"/>
            <w:r w:rsidR="004108F9" w:rsidRPr="00EA2D55">
              <w:rPr>
                <w:rFonts w:ascii="Times New Roman" w:eastAsia="Lato" w:hAnsi="Times New Roman" w:cs="Times New Roman"/>
                <w:sz w:val="20"/>
                <w:szCs w:val="20"/>
              </w:rPr>
              <w:t>f</w:t>
            </w:r>
            <w:r w:rsidRPr="00EA2D55">
              <w:rPr>
                <w:rFonts w:ascii="Times New Roman" w:eastAsia="Lato" w:hAnsi="Times New Roman" w:cs="Times New Roman"/>
                <w:sz w:val="20"/>
                <w:szCs w:val="20"/>
              </w:rPr>
              <w:t xml:space="preserve">atura </w:t>
            </w:r>
            <w:proofErr w:type="spellStart"/>
            <w:r w:rsidRPr="00EA2D55">
              <w:rPr>
                <w:rFonts w:ascii="Times New Roman" w:eastAsia="Lato" w:hAnsi="Times New Roman" w:cs="Times New Roman"/>
                <w:sz w:val="20"/>
                <w:szCs w:val="20"/>
              </w:rPr>
              <w:t>Pro</w:t>
            </w:r>
            <w:proofErr w:type="gramEnd"/>
            <w:r w:rsidRPr="00EA2D55">
              <w:rPr>
                <w:rFonts w:ascii="Times New Roman" w:eastAsia="Lato" w:hAnsi="Times New Roman" w:cs="Times New Roman"/>
                <w:sz w:val="20"/>
                <w:szCs w:val="20"/>
              </w:rPr>
              <w:t>-forma</w:t>
            </w:r>
            <w:proofErr w:type="spellEnd"/>
            <w:r w:rsidRPr="00EA2D55">
              <w:rPr>
                <w:rFonts w:ascii="Times New Roman" w:eastAsia="Lato" w:hAnsi="Times New Roman" w:cs="Times New Roman"/>
                <w:sz w:val="20"/>
                <w:szCs w:val="20"/>
              </w:rPr>
              <w:t xml:space="preserve">, contrato firmado entre as partes (se houver) e e-mail contendo no mínimo descrição da mercadoria, valor, forma de pagamento e prazo para embarque, caso não descrito integralmente na fatura. </w:t>
            </w:r>
          </w:p>
        </w:tc>
      </w:tr>
      <w:tr w:rsidR="00AA7D8C" w:rsidRPr="00EA2D55" w14:paraId="763827DA" w14:textId="77777777" w:rsidTr="00AA7D8C">
        <w:trPr>
          <w:trHeight w:val="2280"/>
        </w:trPr>
        <w:tc>
          <w:tcPr>
            <w:tcW w:w="1537" w:type="dxa"/>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2AA1E38F" w14:textId="77777777" w:rsidR="00AA7D8C" w:rsidRPr="00EA2D55" w:rsidRDefault="00AA7D8C">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12115</w:t>
            </w:r>
          </w:p>
          <w:p w14:paraId="1A944C47" w14:textId="73FF8C06" w:rsidR="00AA7D8C" w:rsidRPr="00EA2D55" w:rsidRDefault="00AA7D8C">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(antecipado</w:t>
            </w:r>
            <w:r w:rsidRPr="00EA2D55">
              <w:rPr>
                <w:rFonts w:ascii="Times New Roman" w:eastAsia="Lato" w:hAnsi="Times New Roman" w:cs="Times New Roman"/>
                <w:b/>
                <w:sz w:val="20"/>
                <w:szCs w:val="20"/>
                <w:vertAlign w:val="superscript"/>
              </w:rPr>
              <w:t>1</w:t>
            </w:r>
            <w:r w:rsidRPr="00EA2D55">
              <w:rPr>
                <w:rFonts w:ascii="Times New Roman" w:eastAsia="Lato" w:hAnsi="Times New Roman" w:cs="Times New Roman"/>
                <w:b/>
                <w:sz w:val="20"/>
                <w:szCs w:val="20"/>
              </w:rPr>
              <w:t>)</w:t>
            </w:r>
          </w:p>
          <w:p w14:paraId="77C272D7" w14:textId="77777777" w:rsidR="00AA7D8C" w:rsidRPr="00EA2D55" w:rsidRDefault="00AA7D8C">
            <w:pPr>
              <w:spacing w:after="0" w:line="240" w:lineRule="auto"/>
              <w:jc w:val="center"/>
              <w:rPr>
                <w:rFonts w:ascii="Times New Roman" w:eastAsia="Lato" w:hAnsi="Times New Roman" w:cs="Times New Roman"/>
                <w:b/>
                <w:sz w:val="20"/>
                <w:szCs w:val="20"/>
              </w:rPr>
            </w:pPr>
          </w:p>
          <w:p w14:paraId="2D328A19" w14:textId="77777777" w:rsidR="00AA7D8C" w:rsidRPr="00EA2D55" w:rsidRDefault="00AA7D8C">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12139</w:t>
            </w:r>
          </w:p>
          <w:p w14:paraId="0D377B4B" w14:textId="722D8086" w:rsidR="00AA7D8C" w:rsidRPr="00EA2D55" w:rsidRDefault="00AA7D8C">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(posterior)</w:t>
            </w:r>
          </w:p>
        </w:tc>
        <w:tc>
          <w:tcPr>
            <w:tcW w:w="127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248195FC" w14:textId="1E390520" w:rsidR="00AA7D8C" w:rsidRPr="00EA2D55" w:rsidRDefault="00AA7D8C">
            <w:pPr>
              <w:spacing w:after="0" w:line="240" w:lineRule="auto"/>
              <w:jc w:val="center"/>
              <w:rPr>
                <w:rFonts w:ascii="Times New Roman" w:eastAsia="Lato" w:hAnsi="Times New Roman" w:cs="Times New Roman"/>
                <w:b/>
                <w:color w:val="000000"/>
                <w:sz w:val="20"/>
                <w:szCs w:val="20"/>
              </w:rPr>
            </w:pPr>
            <w:r w:rsidRPr="00EA2D55">
              <w:rPr>
                <w:rFonts w:ascii="Times New Roman" w:eastAsia="Lato" w:hAnsi="Times New Roman" w:cs="Times New Roman"/>
                <w:b/>
                <w:color w:val="000000"/>
                <w:sz w:val="20"/>
                <w:szCs w:val="20"/>
              </w:rPr>
              <w:t>Exportação</w:t>
            </w:r>
            <w:r w:rsidRPr="00EA2D55">
              <w:rPr>
                <w:rFonts w:ascii="Times New Roman" w:eastAsia="Lato" w:hAnsi="Times New Roman" w:cs="Times New Roman"/>
                <w:color w:val="000000"/>
                <w:sz w:val="20"/>
                <w:szCs w:val="20"/>
              </w:rPr>
              <w:br/>
            </w:r>
            <w:r w:rsidRPr="00EA2D55">
              <w:rPr>
                <w:rFonts w:ascii="Times New Roman" w:eastAsia="Lato" w:hAnsi="Times New Roman" w:cs="Times New Roman"/>
                <w:color w:val="000000"/>
                <w:sz w:val="20"/>
                <w:szCs w:val="20"/>
              </w:rPr>
              <w:br/>
              <w:t xml:space="preserve">Mais </w:t>
            </w:r>
            <w:r w:rsidR="00C84D50" w:rsidRPr="00EA2D55">
              <w:rPr>
                <w:rFonts w:ascii="Times New Roman" w:eastAsia="Lato" w:hAnsi="Times New Roman" w:cs="Times New Roman"/>
                <w:color w:val="000000"/>
                <w:sz w:val="20"/>
                <w:szCs w:val="20"/>
              </w:rPr>
              <w:t xml:space="preserve">de </w:t>
            </w:r>
            <w:r w:rsidRPr="00EA2D55">
              <w:rPr>
                <w:rFonts w:ascii="Times New Roman" w:eastAsia="Lato" w:hAnsi="Times New Roman" w:cs="Times New Roman"/>
                <w:color w:val="000000"/>
                <w:sz w:val="20"/>
                <w:szCs w:val="20"/>
              </w:rPr>
              <w:t>360 dias</w:t>
            </w: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1A639EB2" w14:textId="5DE1BE24" w:rsidR="00AA7D8C" w:rsidRPr="00EA2D55" w:rsidRDefault="00AA7D8C">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Entrada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37EA7F8C" w14:textId="44AF8B1D" w:rsidR="00AA7D8C" w:rsidRPr="00EA2D55" w:rsidRDefault="002F4CCA" w:rsidP="00AA7D8C">
            <w:pPr>
              <w:spacing w:after="0" w:line="240" w:lineRule="auto"/>
              <w:jc w:val="both"/>
              <w:rPr>
                <w:rFonts w:ascii="Times New Roman" w:eastAsia="Lato" w:hAnsi="Times New Roman" w:cs="Times New Roman"/>
                <w:sz w:val="20"/>
                <w:szCs w:val="20"/>
              </w:rPr>
            </w:pPr>
            <w:sdt>
              <w:sdtPr>
                <w:rPr>
                  <w:rFonts w:ascii="Times New Roman" w:hAnsi="Times New Roman" w:cs="Times New Roman"/>
                </w:rPr>
                <w:tag w:val="goog_rdk_2"/>
                <w:id w:val="-378247448"/>
              </w:sdtPr>
              <w:sdtEndPr/>
              <w:sdtContent/>
            </w:sdt>
            <w:r w:rsidR="00AA7D8C" w:rsidRPr="00EA2D55">
              <w:rPr>
                <w:rFonts w:ascii="Times New Roman" w:eastAsia="Lato" w:hAnsi="Times New Roman" w:cs="Times New Roman"/>
                <w:sz w:val="20"/>
                <w:szCs w:val="20"/>
              </w:rPr>
              <w:t xml:space="preserve">1. Fatura </w:t>
            </w:r>
            <w:proofErr w:type="spellStart"/>
            <w:r w:rsidR="00AA7D8C" w:rsidRPr="00EA2D55">
              <w:rPr>
                <w:rFonts w:ascii="Times New Roman" w:eastAsia="Lato" w:hAnsi="Times New Roman" w:cs="Times New Roman"/>
                <w:sz w:val="20"/>
                <w:szCs w:val="20"/>
              </w:rPr>
              <w:t>Pro-forma</w:t>
            </w:r>
            <w:proofErr w:type="spellEnd"/>
            <w:r w:rsidR="00AA7D8C" w:rsidRPr="00EA2D55">
              <w:rPr>
                <w:rFonts w:ascii="Times New Roman" w:eastAsia="Lato" w:hAnsi="Times New Roman" w:cs="Times New Roman"/>
                <w:sz w:val="20"/>
                <w:szCs w:val="20"/>
              </w:rPr>
              <w:t xml:space="preserve">, contrato firmado entre as partes (se houver) e e-mail contendo no mínimo descrição da mercadoria, valor, forma de pagamento e prazo para embarque, caso não descrito integralmente na fatura; </w:t>
            </w:r>
            <w:r w:rsidR="00C84D50" w:rsidRPr="00EA2D55">
              <w:rPr>
                <w:rFonts w:ascii="Times New Roman" w:eastAsia="Lato" w:hAnsi="Times New Roman" w:cs="Times New Roman"/>
                <w:sz w:val="20"/>
                <w:szCs w:val="20"/>
              </w:rPr>
              <w:t xml:space="preserve">se superior a USD 1,000,000 </w:t>
            </w:r>
            <w:r w:rsidR="00AA7D8C" w:rsidRPr="00EA2D55">
              <w:rPr>
                <w:rFonts w:ascii="Times New Roman" w:eastAsia="Lato" w:hAnsi="Times New Roman" w:cs="Times New Roman"/>
                <w:sz w:val="20"/>
                <w:szCs w:val="20"/>
              </w:rPr>
              <w:t>registro no SCE-Crédito</w:t>
            </w:r>
          </w:p>
          <w:p w14:paraId="4A840186" w14:textId="77777777" w:rsidR="00AA7D8C" w:rsidRPr="00EA2D55" w:rsidRDefault="00AA7D8C" w:rsidP="00AA7D8C">
            <w:pPr>
              <w:spacing w:after="0" w:line="240" w:lineRule="auto"/>
              <w:jc w:val="both"/>
              <w:rPr>
                <w:rFonts w:ascii="Times New Roman" w:eastAsia="Lato" w:hAnsi="Times New Roman" w:cs="Times New Roman"/>
                <w:sz w:val="20"/>
                <w:szCs w:val="20"/>
              </w:rPr>
            </w:pPr>
          </w:p>
          <w:p w14:paraId="7ACBC457" w14:textId="69675562" w:rsidR="00AA7D8C" w:rsidRPr="00EA2D55" w:rsidRDefault="00AA7D8C" w:rsidP="00AA7D8C">
            <w:pPr>
              <w:spacing w:after="0" w:line="240" w:lineRule="auto"/>
              <w:jc w:val="both"/>
              <w:rPr>
                <w:rFonts w:ascii="Times New Roman" w:eastAsia="Lato" w:hAnsi="Times New Roman" w:cs="Times New Roman"/>
                <w:sz w:val="20"/>
                <w:szCs w:val="20"/>
              </w:rPr>
            </w:pPr>
            <w:r w:rsidRPr="00EA2D55">
              <w:rPr>
                <w:rFonts w:ascii="Times New Roman" w:eastAsia="Lato" w:hAnsi="Times New Roman" w:cs="Times New Roman"/>
                <w:sz w:val="20"/>
                <w:szCs w:val="20"/>
              </w:rPr>
              <w:t>2. DU-E (Declaração Unificada de Exportação) com Chave de acesso e o valor a ser aplicado OU planilha ou documento equivalente com o número da DU-E (Declaração Unificada de Exportação) com Chave de acesso e valor a ser aplicado</w:t>
            </w:r>
          </w:p>
        </w:tc>
      </w:tr>
      <w:tr w:rsidR="00FC62AB" w:rsidRPr="00EA2D55" w14:paraId="7B3D6AB8" w14:textId="77777777" w:rsidTr="00AA7D8C">
        <w:trPr>
          <w:trHeight w:val="1620"/>
        </w:trPr>
        <w:tc>
          <w:tcPr>
            <w:tcW w:w="1537" w:type="dxa"/>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4194A891" w14:textId="7C744CE5" w:rsidR="009A7E3E"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12445</w:t>
            </w:r>
          </w:p>
          <w:p w14:paraId="14B6F770" w14:textId="27EED6AA" w:rsidR="00652348" w:rsidRPr="00EA2D55" w:rsidRDefault="00652348">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(antecipado</w:t>
            </w:r>
            <w:r w:rsidRPr="00EA2D55">
              <w:rPr>
                <w:rFonts w:ascii="Times New Roman" w:eastAsia="Lato" w:hAnsi="Times New Roman" w:cs="Times New Roman"/>
                <w:b/>
                <w:sz w:val="20"/>
                <w:szCs w:val="20"/>
                <w:vertAlign w:val="superscript"/>
              </w:rPr>
              <w:t>4</w:t>
            </w:r>
            <w:r w:rsidRPr="00EA2D55">
              <w:rPr>
                <w:rFonts w:ascii="Times New Roman" w:eastAsia="Lato" w:hAnsi="Times New Roman" w:cs="Times New Roman"/>
                <w:b/>
                <w:sz w:val="20"/>
                <w:szCs w:val="20"/>
              </w:rPr>
              <w:t>)</w:t>
            </w:r>
          </w:p>
          <w:p w14:paraId="30007343" w14:textId="77777777" w:rsidR="009A7E3E" w:rsidRPr="00EA2D55" w:rsidRDefault="009A7E3E">
            <w:pPr>
              <w:spacing w:after="0" w:line="240" w:lineRule="auto"/>
              <w:jc w:val="center"/>
              <w:rPr>
                <w:rFonts w:ascii="Times New Roman" w:eastAsia="Lato" w:hAnsi="Times New Roman" w:cs="Times New Roman"/>
                <w:b/>
                <w:sz w:val="20"/>
                <w:szCs w:val="20"/>
              </w:rPr>
            </w:pPr>
          </w:p>
          <w:p w14:paraId="508A42F7" w14:textId="77777777" w:rsidR="00FC62AB" w:rsidRPr="00EA2D55" w:rsidRDefault="002F4CCA">
            <w:pPr>
              <w:spacing w:after="0" w:line="240" w:lineRule="auto"/>
              <w:jc w:val="center"/>
              <w:rPr>
                <w:rFonts w:ascii="Times New Roman" w:eastAsia="Lato" w:hAnsi="Times New Roman" w:cs="Times New Roman"/>
                <w:b/>
                <w:sz w:val="20"/>
                <w:szCs w:val="20"/>
              </w:rPr>
            </w:pPr>
            <w:sdt>
              <w:sdtPr>
                <w:rPr>
                  <w:rFonts w:ascii="Times New Roman" w:hAnsi="Times New Roman" w:cs="Times New Roman"/>
                </w:rPr>
                <w:tag w:val="goog_rdk_3"/>
                <w:id w:val="-494522946"/>
              </w:sdtPr>
              <w:sdtEndPr/>
              <w:sdtContent/>
            </w:sdt>
            <w:r w:rsidR="00623C0A" w:rsidRPr="00EA2D55">
              <w:rPr>
                <w:rFonts w:ascii="Times New Roman" w:eastAsia="Lato" w:hAnsi="Times New Roman" w:cs="Times New Roman"/>
                <w:b/>
                <w:sz w:val="20"/>
                <w:szCs w:val="20"/>
              </w:rPr>
              <w:t>12452</w:t>
            </w:r>
          </w:p>
          <w:p w14:paraId="00000028" w14:textId="36B4C2EA" w:rsidR="00652348" w:rsidRPr="00EA2D55" w:rsidRDefault="00652348">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(posterior)</w:t>
            </w:r>
          </w:p>
        </w:tc>
        <w:tc>
          <w:tcPr>
            <w:tcW w:w="127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30229C58" w14:textId="77777777" w:rsidR="00652348" w:rsidRPr="00EA2D55" w:rsidRDefault="00652348">
            <w:pPr>
              <w:spacing w:after="0" w:line="240" w:lineRule="auto"/>
              <w:jc w:val="center"/>
              <w:rPr>
                <w:rFonts w:ascii="Times New Roman" w:eastAsia="Lato" w:hAnsi="Times New Roman" w:cs="Times New Roman"/>
                <w:b/>
                <w:color w:val="000000"/>
                <w:sz w:val="20"/>
                <w:szCs w:val="20"/>
              </w:rPr>
            </w:pPr>
          </w:p>
          <w:p w14:paraId="2B65A38C" w14:textId="316EAC67" w:rsidR="00652348" w:rsidRPr="00EA2D55" w:rsidRDefault="00623C0A">
            <w:pPr>
              <w:spacing w:after="0" w:line="240" w:lineRule="auto"/>
              <w:jc w:val="center"/>
              <w:rPr>
                <w:rFonts w:ascii="Times New Roman" w:eastAsia="Lato" w:hAnsi="Times New Roman" w:cs="Times New Roman"/>
                <w:color w:val="000000"/>
                <w:sz w:val="20"/>
                <w:szCs w:val="20"/>
              </w:rPr>
            </w:pPr>
            <w:r w:rsidRPr="00EA2D55">
              <w:rPr>
                <w:rFonts w:ascii="Times New Roman" w:eastAsia="Lato" w:hAnsi="Times New Roman" w:cs="Times New Roman"/>
                <w:b/>
                <w:color w:val="000000"/>
                <w:sz w:val="20"/>
                <w:szCs w:val="20"/>
              </w:rPr>
              <w:t>Importação</w:t>
            </w:r>
            <w:r w:rsidRPr="00EA2D55">
              <w:rPr>
                <w:rFonts w:ascii="Times New Roman" w:eastAsia="Lato" w:hAnsi="Times New Roman" w:cs="Times New Roman"/>
                <w:color w:val="000000"/>
                <w:sz w:val="20"/>
                <w:szCs w:val="20"/>
              </w:rPr>
              <w:br/>
            </w:r>
          </w:p>
          <w:p w14:paraId="00000029" w14:textId="1148A81A"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color w:val="000000"/>
                <w:sz w:val="20"/>
                <w:szCs w:val="20"/>
              </w:rPr>
              <w:t>Mais de 360 dias</w:t>
            </w: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2A"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Saída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7C81FED1" w14:textId="7DD8B9DD" w:rsidR="00652348"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 xml:space="preserve">1. Conhecimento de embarque (caso mercadoria não desembaraçada - </w:t>
            </w:r>
            <w:r w:rsidR="00652348" w:rsidRPr="00EA2D55">
              <w:rPr>
                <w:rFonts w:ascii="Times New Roman" w:eastAsia="Lato" w:hAnsi="Times New Roman" w:cs="Times New Roman"/>
                <w:sz w:val="20"/>
                <w:szCs w:val="20"/>
              </w:rPr>
              <w:t>à</w:t>
            </w:r>
            <w:r w:rsidRPr="00EA2D55">
              <w:rPr>
                <w:rFonts w:ascii="Times New Roman" w:eastAsia="Lato" w:hAnsi="Times New Roman" w:cs="Times New Roman"/>
                <w:sz w:val="20"/>
                <w:szCs w:val="20"/>
              </w:rPr>
              <w:t xml:space="preserve"> vista)</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2. Fatura comercial (caso mercadoria não desembaraçada - a vista)</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3. Número da DI (Declaração de Importação) com Número de Protocolo e CNPJ do Importador</w:t>
            </w:r>
          </w:p>
          <w:p w14:paraId="3EA4D0DE" w14:textId="77777777" w:rsidR="00652348" w:rsidRPr="00EA2D55" w:rsidRDefault="00652348">
            <w:pPr>
              <w:spacing w:after="0" w:line="240" w:lineRule="auto"/>
              <w:rPr>
                <w:rFonts w:ascii="Times New Roman" w:eastAsia="Lato" w:hAnsi="Times New Roman" w:cs="Times New Roman"/>
                <w:sz w:val="20"/>
                <w:szCs w:val="20"/>
              </w:rPr>
            </w:pPr>
          </w:p>
          <w:p w14:paraId="0000002B" w14:textId="7E5F5A4D" w:rsidR="00FC62AB" w:rsidRPr="00EA2D55" w:rsidRDefault="00652348">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4. Em caso de pagamento antecipado acima de 360 dias</w:t>
            </w:r>
            <w:r w:rsidR="008739E6" w:rsidRPr="00EA2D55">
              <w:rPr>
                <w:rFonts w:ascii="Times New Roman" w:eastAsia="Lato" w:hAnsi="Times New Roman" w:cs="Times New Roman"/>
                <w:sz w:val="20"/>
                <w:szCs w:val="20"/>
              </w:rPr>
              <w:t xml:space="preserve"> e superior a </w:t>
            </w:r>
            <w:r w:rsidR="00C84D50" w:rsidRPr="00EA2D55">
              <w:rPr>
                <w:rFonts w:ascii="Times New Roman" w:eastAsia="Lato" w:hAnsi="Times New Roman" w:cs="Times New Roman"/>
                <w:sz w:val="20"/>
                <w:szCs w:val="20"/>
              </w:rPr>
              <w:t xml:space="preserve">USD </w:t>
            </w:r>
            <w:proofErr w:type="gramStart"/>
            <w:r w:rsidR="00C84D50" w:rsidRPr="00EA2D55">
              <w:rPr>
                <w:rFonts w:ascii="Times New Roman" w:eastAsia="Lato" w:hAnsi="Times New Roman" w:cs="Times New Roman"/>
                <w:sz w:val="20"/>
                <w:szCs w:val="20"/>
              </w:rPr>
              <w:t xml:space="preserve">500.000 </w:t>
            </w:r>
            <w:r w:rsidRPr="00EA2D55">
              <w:rPr>
                <w:rFonts w:ascii="Times New Roman" w:eastAsia="Lato" w:hAnsi="Times New Roman" w:cs="Times New Roman"/>
                <w:sz w:val="20"/>
                <w:szCs w:val="20"/>
              </w:rPr>
              <w:t>registro</w:t>
            </w:r>
            <w:proofErr w:type="gramEnd"/>
            <w:r w:rsidRPr="00EA2D55">
              <w:rPr>
                <w:rFonts w:ascii="Times New Roman" w:eastAsia="Lato" w:hAnsi="Times New Roman" w:cs="Times New Roman"/>
                <w:sz w:val="20"/>
                <w:szCs w:val="20"/>
              </w:rPr>
              <w:t xml:space="preserve"> no SCE-Crédito;</w:t>
            </w:r>
          </w:p>
        </w:tc>
      </w:tr>
      <w:tr w:rsidR="00FC62AB" w:rsidRPr="00EA2D55" w14:paraId="30F854F9" w14:textId="77777777" w:rsidTr="00AA7D8C">
        <w:trPr>
          <w:trHeight w:val="1530"/>
        </w:trPr>
        <w:tc>
          <w:tcPr>
            <w:tcW w:w="1537" w:type="dxa"/>
            <w:vMerge w:val="restart"/>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0000002C" w14:textId="77777777" w:rsidR="00FC62A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72454</w:t>
            </w:r>
          </w:p>
        </w:tc>
        <w:tc>
          <w:tcPr>
            <w:tcW w:w="1275" w:type="dxa"/>
            <w:vMerge w:val="restart"/>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2D" w14:textId="77777777" w:rsidR="00FC62A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Investimento direto</w:t>
            </w: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2E"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Entrada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2F" w14:textId="47FBFBFC"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 xml:space="preserve">1. Documento (declaração ou ata) deliberando o ingresso de capital estrangeiro inicial OU última </w:t>
            </w:r>
            <w:sdt>
              <w:sdtPr>
                <w:rPr>
                  <w:rFonts w:ascii="Times New Roman" w:hAnsi="Times New Roman" w:cs="Times New Roman"/>
                </w:rPr>
                <w:tag w:val="goog_rdk_4"/>
                <w:id w:val="-1882172956"/>
              </w:sdtPr>
              <w:sdtEndPr/>
              <w:sdtContent/>
            </w:sdt>
            <w:r w:rsidRPr="00EA2D55">
              <w:rPr>
                <w:rFonts w:ascii="Times New Roman" w:eastAsia="Lato" w:hAnsi="Times New Roman" w:cs="Times New Roman"/>
                <w:sz w:val="20"/>
                <w:szCs w:val="20"/>
              </w:rPr>
              <w:t xml:space="preserve">alteração contratual </w:t>
            </w:r>
            <w:r w:rsidR="00652348" w:rsidRPr="00EA2D55">
              <w:rPr>
                <w:rFonts w:ascii="Times New Roman" w:eastAsia="Lato" w:hAnsi="Times New Roman" w:cs="Times New Roman"/>
                <w:sz w:val="20"/>
                <w:szCs w:val="20"/>
              </w:rPr>
              <w:t xml:space="preserve">protocolada na Junta Comercial </w:t>
            </w:r>
            <w:r w:rsidRPr="00EA2D55">
              <w:rPr>
                <w:rFonts w:ascii="Times New Roman" w:eastAsia="Lato" w:hAnsi="Times New Roman" w:cs="Times New Roman"/>
                <w:sz w:val="20"/>
                <w:szCs w:val="20"/>
              </w:rPr>
              <w:t>quando tratar-se de aumento de capital</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2. Extrato completo do RDE-IED/SCE-IED</w:t>
            </w:r>
          </w:p>
        </w:tc>
      </w:tr>
      <w:tr w:rsidR="00FC62AB" w:rsidRPr="00EA2D55" w14:paraId="63ADE9BA" w14:textId="77777777" w:rsidTr="00AA7D8C">
        <w:trPr>
          <w:trHeight w:val="2775"/>
        </w:trPr>
        <w:tc>
          <w:tcPr>
            <w:tcW w:w="1537" w:type="dxa"/>
            <w:vMerge/>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00000030"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1275" w:type="dxa"/>
            <w:vMerge/>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1"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2"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Saída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3" w14:textId="665134DD"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1. Extrato completo do RDE-IED/SCE-IED</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r>
            <w:sdt>
              <w:sdtPr>
                <w:rPr>
                  <w:rFonts w:ascii="Times New Roman" w:hAnsi="Times New Roman" w:cs="Times New Roman"/>
                </w:rPr>
                <w:tag w:val="goog_rdk_5"/>
                <w:id w:val="-635174810"/>
              </w:sdtPr>
              <w:sdtEndPr/>
              <w:sdtContent/>
            </w:sdt>
            <w:r w:rsidRPr="00EA2D55">
              <w:rPr>
                <w:rFonts w:ascii="Times New Roman" w:eastAsia="Lato" w:hAnsi="Times New Roman" w:cs="Times New Roman"/>
                <w:sz w:val="20"/>
                <w:szCs w:val="20"/>
              </w:rPr>
              <w:t>2. Documento comprovando o recolhimento dos tributos (DARF/</w:t>
            </w:r>
            <w:proofErr w:type="spellStart"/>
            <w:r w:rsidRPr="00EA2D55">
              <w:rPr>
                <w:rFonts w:ascii="Times New Roman" w:eastAsia="Lato" w:hAnsi="Times New Roman" w:cs="Times New Roman"/>
                <w:sz w:val="20"/>
                <w:szCs w:val="20"/>
              </w:rPr>
              <w:t>Percomp</w:t>
            </w:r>
            <w:proofErr w:type="spellEnd"/>
            <w:r w:rsidRPr="00EA2D55">
              <w:rPr>
                <w:rFonts w:ascii="Times New Roman" w:eastAsia="Lato" w:hAnsi="Times New Roman" w:cs="Times New Roman"/>
                <w:sz w:val="20"/>
                <w:szCs w:val="20"/>
              </w:rPr>
              <w:t>) OU base legal para isenção l</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3. Ata devidamente registrada da Junta Comercial, deliberando o retorno do capital em razão do prazo legal de 90 dias exigido pelo Código Civil, para impugnação da redução do capital previamente ao registro da ata, não se aceita protocolo na Junta Comercial em vez do regi</w:t>
            </w:r>
            <w:r w:rsidR="00024BFA" w:rsidRPr="00EA2D55">
              <w:rPr>
                <w:rFonts w:ascii="Times New Roman" w:eastAsia="Lato" w:hAnsi="Times New Roman" w:cs="Times New Roman"/>
                <w:sz w:val="20"/>
                <w:szCs w:val="20"/>
              </w:rPr>
              <w:t>s</w:t>
            </w:r>
            <w:r w:rsidRPr="00EA2D55">
              <w:rPr>
                <w:rFonts w:ascii="Times New Roman" w:eastAsia="Lato" w:hAnsi="Times New Roman" w:cs="Times New Roman"/>
                <w:sz w:val="20"/>
                <w:szCs w:val="20"/>
              </w:rPr>
              <w:t>tro</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 xml:space="preserve">4. Balanço Patrimonial </w:t>
            </w:r>
          </w:p>
        </w:tc>
      </w:tr>
      <w:tr w:rsidR="00FC62AB" w:rsidRPr="00EA2D55" w14:paraId="21EC793C" w14:textId="77777777" w:rsidTr="00AA7D8C">
        <w:trPr>
          <w:trHeight w:val="1485"/>
        </w:trPr>
        <w:tc>
          <w:tcPr>
            <w:tcW w:w="1537" w:type="dxa"/>
            <w:vMerge w:val="restart"/>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1722AB3F" w14:textId="601F48CE" w:rsidR="00FC62A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lastRenderedPageBreak/>
              <w:t>72423</w:t>
            </w:r>
          </w:p>
          <w:p w14:paraId="2B38EC4A" w14:textId="1D243AE6" w:rsidR="008B5353" w:rsidRPr="00EA2D55" w:rsidRDefault="008B5353">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(até 360 dias)</w:t>
            </w:r>
          </w:p>
          <w:p w14:paraId="150320CB" w14:textId="77777777" w:rsidR="008B5353" w:rsidRPr="00EA2D55" w:rsidRDefault="008B5353">
            <w:pPr>
              <w:spacing w:after="0" w:line="240" w:lineRule="auto"/>
              <w:jc w:val="center"/>
              <w:rPr>
                <w:rFonts w:ascii="Times New Roman" w:eastAsia="Lato" w:hAnsi="Times New Roman" w:cs="Times New Roman"/>
                <w:sz w:val="20"/>
                <w:szCs w:val="20"/>
              </w:rPr>
            </w:pPr>
          </w:p>
          <w:p w14:paraId="64C46BD2" w14:textId="77777777" w:rsidR="008B5353" w:rsidRPr="00EA2D55" w:rsidRDefault="008B5353">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72430</w:t>
            </w:r>
          </w:p>
          <w:p w14:paraId="00000034" w14:textId="5EBF345E" w:rsidR="008B5353" w:rsidRPr="00EA2D55" w:rsidRDefault="008B5353">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(mais de 360 dias)</w:t>
            </w:r>
          </w:p>
        </w:tc>
        <w:tc>
          <w:tcPr>
            <w:tcW w:w="1275" w:type="dxa"/>
            <w:vMerge w:val="restart"/>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5" w14:textId="2B1848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b/>
                <w:color w:val="000000"/>
                <w:sz w:val="20"/>
                <w:szCs w:val="20"/>
              </w:rPr>
              <w:t>Pagamentos de empréstimos</w:t>
            </w:r>
            <w:r w:rsidRPr="00EA2D55">
              <w:rPr>
                <w:rFonts w:ascii="Times New Roman" w:eastAsia="Lato" w:hAnsi="Times New Roman" w:cs="Times New Roman"/>
                <w:color w:val="000000"/>
                <w:sz w:val="20"/>
                <w:szCs w:val="20"/>
              </w:rPr>
              <w:br/>
            </w:r>
            <w:r w:rsidRPr="00EA2D55">
              <w:rPr>
                <w:rFonts w:ascii="Times New Roman" w:eastAsia="Lato" w:hAnsi="Times New Roman" w:cs="Times New Roman"/>
                <w:color w:val="000000"/>
                <w:sz w:val="20"/>
                <w:szCs w:val="20"/>
              </w:rPr>
              <w:br/>
            </w: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6"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Entrada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7" w14:textId="2F0AF47A"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1. Extrato completo do SCE-Crédito (RDE-ROF) com esquema de pagamento</w:t>
            </w:r>
            <w:r w:rsidR="008B5353" w:rsidRPr="00EA2D55">
              <w:rPr>
                <w:rFonts w:ascii="Times New Roman" w:eastAsia="Lato" w:hAnsi="Times New Roman" w:cs="Times New Roman"/>
                <w:sz w:val="20"/>
                <w:szCs w:val="20"/>
              </w:rPr>
              <w:t>, quando aplicável;</w:t>
            </w:r>
            <w:r w:rsidRPr="00EA2D55">
              <w:rPr>
                <w:rFonts w:ascii="Times New Roman" w:eastAsia="Lato" w:hAnsi="Times New Roman" w:cs="Times New Roman"/>
                <w:sz w:val="20"/>
                <w:szCs w:val="20"/>
              </w:rPr>
              <w:t xml:space="preserve"> </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2. Contrato assinado (e aditamentos, se houver) ente as partes OU documento equivalente que comprove a obrigação e o vínculo com o registro</w:t>
            </w:r>
          </w:p>
        </w:tc>
      </w:tr>
      <w:tr w:rsidR="00FC62AB" w:rsidRPr="00EA2D55" w14:paraId="02D0443F" w14:textId="77777777" w:rsidTr="00AA7D8C">
        <w:trPr>
          <w:trHeight w:val="2280"/>
        </w:trPr>
        <w:tc>
          <w:tcPr>
            <w:tcW w:w="1537" w:type="dxa"/>
            <w:vMerge/>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00000038"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1275" w:type="dxa"/>
            <w:vMerge/>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9"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A"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Saída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B" w14:textId="39CF2A0D"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1. Extrato completo do SCE-Crédito (RDE-ROF) com esquema de pagamento</w:t>
            </w:r>
            <w:r w:rsidR="008B5353" w:rsidRPr="00EA2D55">
              <w:rPr>
                <w:rFonts w:ascii="Times New Roman" w:eastAsia="Lato" w:hAnsi="Times New Roman" w:cs="Times New Roman"/>
                <w:sz w:val="20"/>
                <w:szCs w:val="20"/>
              </w:rPr>
              <w:t>, quando aplicável;</w:t>
            </w:r>
            <w:r w:rsidRPr="00EA2D55">
              <w:rPr>
                <w:rFonts w:ascii="Times New Roman" w:eastAsia="Lato" w:hAnsi="Times New Roman" w:cs="Times New Roman"/>
                <w:sz w:val="20"/>
                <w:szCs w:val="20"/>
              </w:rPr>
              <w:t xml:space="preserve"> </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r>
            <w:sdt>
              <w:sdtPr>
                <w:rPr>
                  <w:rFonts w:ascii="Times New Roman" w:hAnsi="Times New Roman" w:cs="Times New Roman"/>
                </w:rPr>
                <w:tag w:val="goog_rdk_6"/>
                <w:id w:val="-936489055"/>
              </w:sdtPr>
              <w:sdtEndPr/>
              <w:sdtContent/>
            </w:sdt>
            <w:r w:rsidRPr="00EA2D55">
              <w:rPr>
                <w:rFonts w:ascii="Times New Roman" w:eastAsia="Lato" w:hAnsi="Times New Roman" w:cs="Times New Roman"/>
                <w:sz w:val="20"/>
                <w:szCs w:val="20"/>
              </w:rPr>
              <w:t>2. Documento comprovando o recolhimento dos tributos (DARF/</w:t>
            </w:r>
            <w:proofErr w:type="spellStart"/>
            <w:r w:rsidRPr="00EA2D55">
              <w:rPr>
                <w:rFonts w:ascii="Times New Roman" w:eastAsia="Lato" w:hAnsi="Times New Roman" w:cs="Times New Roman"/>
                <w:sz w:val="20"/>
                <w:szCs w:val="20"/>
              </w:rPr>
              <w:t>Percomp</w:t>
            </w:r>
            <w:proofErr w:type="spellEnd"/>
            <w:r w:rsidRPr="00EA2D55">
              <w:rPr>
                <w:rFonts w:ascii="Times New Roman" w:eastAsia="Lato" w:hAnsi="Times New Roman" w:cs="Times New Roman"/>
                <w:sz w:val="20"/>
                <w:szCs w:val="20"/>
              </w:rPr>
              <w:t>) OU base legal para isenção</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r>
            <w:sdt>
              <w:sdtPr>
                <w:rPr>
                  <w:rFonts w:ascii="Times New Roman" w:hAnsi="Times New Roman" w:cs="Times New Roman"/>
                </w:rPr>
                <w:tag w:val="goog_rdk_7"/>
                <w:id w:val="1569614574"/>
              </w:sdtPr>
              <w:sdtEndPr/>
              <w:sdtContent/>
            </w:sdt>
            <w:r w:rsidRPr="00EA2D55">
              <w:rPr>
                <w:rFonts w:ascii="Times New Roman" w:eastAsia="Lato" w:hAnsi="Times New Roman" w:cs="Times New Roman"/>
                <w:sz w:val="20"/>
                <w:szCs w:val="20"/>
              </w:rPr>
              <w:t>3. Contrato (e aditamentos, se houver) assinado entre as partes OU documento equivalente que comprove a obrigação</w:t>
            </w:r>
            <w:r w:rsidR="00837B27" w:rsidRPr="00EA2D55">
              <w:rPr>
                <w:rFonts w:ascii="Times New Roman" w:eastAsia="Lato" w:hAnsi="Times New Roman" w:cs="Times New Roman"/>
                <w:sz w:val="20"/>
                <w:szCs w:val="20"/>
              </w:rPr>
              <w:t xml:space="preserve"> + balanço patrimonial</w:t>
            </w:r>
          </w:p>
        </w:tc>
      </w:tr>
      <w:tr w:rsidR="00FC62AB" w:rsidRPr="00EA2D55" w14:paraId="6DE408B8" w14:textId="77777777" w:rsidTr="00AA7D8C">
        <w:trPr>
          <w:trHeight w:val="1935"/>
        </w:trPr>
        <w:tc>
          <w:tcPr>
            <w:tcW w:w="1537" w:type="dxa"/>
            <w:vMerge w:val="restart"/>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0000003C" w14:textId="77777777" w:rsidR="00FC62A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52443</w:t>
            </w:r>
          </w:p>
        </w:tc>
        <w:tc>
          <w:tcPr>
            <w:tcW w:w="1275" w:type="dxa"/>
            <w:vMerge w:val="restart"/>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D" w14:textId="77777777" w:rsidR="00FC62A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 xml:space="preserve">Pagamentos de dividendo </w:t>
            </w: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E"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Entrada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3F" w14:textId="08124FC7"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1</w:t>
            </w:r>
            <w:sdt>
              <w:sdtPr>
                <w:rPr>
                  <w:rFonts w:ascii="Times New Roman" w:hAnsi="Times New Roman" w:cs="Times New Roman"/>
                </w:rPr>
                <w:tag w:val="goog_rdk_8"/>
                <w:id w:val="-1599115505"/>
              </w:sdtPr>
              <w:sdtEndPr/>
              <w:sdtContent/>
            </w:sdt>
            <w:r w:rsidRPr="00EA2D55">
              <w:rPr>
                <w:rFonts w:ascii="Times New Roman" w:eastAsia="Lato" w:hAnsi="Times New Roman" w:cs="Times New Roman"/>
                <w:sz w:val="20"/>
                <w:szCs w:val="20"/>
              </w:rPr>
              <w:t xml:space="preserve">. Ata emitida e assinada pela empresa </w:t>
            </w:r>
            <w:proofErr w:type="gramStart"/>
            <w:r w:rsidRPr="00EA2D55">
              <w:rPr>
                <w:rFonts w:ascii="Times New Roman" w:eastAsia="Lato" w:hAnsi="Times New Roman" w:cs="Times New Roman"/>
                <w:sz w:val="20"/>
                <w:szCs w:val="20"/>
              </w:rPr>
              <w:t>estrangeira</w:t>
            </w:r>
            <w:r w:rsidR="00837B27" w:rsidRPr="00EA2D55">
              <w:rPr>
                <w:rFonts w:ascii="Times New Roman" w:eastAsia="Lato" w:hAnsi="Times New Roman" w:cs="Times New Roman"/>
                <w:sz w:val="20"/>
                <w:szCs w:val="20"/>
              </w:rPr>
              <w:t>,,</w:t>
            </w:r>
            <w:proofErr w:type="gramEnd"/>
            <w:r w:rsidR="00837B27" w:rsidRPr="00EA2D55">
              <w:rPr>
                <w:rFonts w:ascii="Times New Roman" w:eastAsia="Lato" w:hAnsi="Times New Roman" w:cs="Times New Roman"/>
                <w:sz w:val="20"/>
                <w:szCs w:val="20"/>
              </w:rPr>
              <w:t xml:space="preserve"> deliberando o valor a ser pago e o beneficiário. </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2. Comprovante da saída dos recursos (Contrato de câmbio liquidado OU DCBE OU comprovante da transferência)</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 xml:space="preserve">3. OU, Declaração de Capitais Brasileiros no exterior </w:t>
            </w:r>
          </w:p>
        </w:tc>
      </w:tr>
      <w:tr w:rsidR="00FC62AB" w:rsidRPr="00EA2D55" w14:paraId="145441EE" w14:textId="77777777" w:rsidTr="00AA7D8C">
        <w:trPr>
          <w:trHeight w:val="2175"/>
        </w:trPr>
        <w:tc>
          <w:tcPr>
            <w:tcW w:w="1537" w:type="dxa"/>
            <w:vMerge/>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00000040"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1275" w:type="dxa"/>
            <w:vMerge/>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1"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2"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Saída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3" w14:textId="77777777"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1. Extrato completo do RDE-IED</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2. Ata registrada ou com protocolo de entrada na Junta Comercial, com entrega posterior da ata registrada</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r>
            <w:sdt>
              <w:sdtPr>
                <w:rPr>
                  <w:rFonts w:ascii="Times New Roman" w:hAnsi="Times New Roman" w:cs="Times New Roman"/>
                </w:rPr>
                <w:tag w:val="goog_rdk_9"/>
                <w:id w:val="-1454133079"/>
              </w:sdtPr>
              <w:sdtEndPr/>
              <w:sdtContent/>
            </w:sdt>
            <w:r w:rsidRPr="00EA2D55">
              <w:rPr>
                <w:rFonts w:ascii="Times New Roman" w:eastAsia="Lato" w:hAnsi="Times New Roman" w:cs="Times New Roman"/>
                <w:sz w:val="20"/>
                <w:szCs w:val="20"/>
              </w:rPr>
              <w:t>3. Documento comprovando o recolhimento dos tributos (DARF/</w:t>
            </w:r>
            <w:proofErr w:type="spellStart"/>
            <w:r w:rsidRPr="00EA2D55">
              <w:rPr>
                <w:rFonts w:ascii="Times New Roman" w:eastAsia="Lato" w:hAnsi="Times New Roman" w:cs="Times New Roman"/>
                <w:sz w:val="20"/>
                <w:szCs w:val="20"/>
              </w:rPr>
              <w:t>Percomp</w:t>
            </w:r>
            <w:proofErr w:type="spellEnd"/>
            <w:r w:rsidRPr="00EA2D55">
              <w:rPr>
                <w:rFonts w:ascii="Times New Roman" w:eastAsia="Lato" w:hAnsi="Times New Roman" w:cs="Times New Roman"/>
                <w:sz w:val="20"/>
                <w:szCs w:val="20"/>
              </w:rPr>
              <w:t>) OU base legal para isenção</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4. Balanço/DRE/Balancete comprovando o lucro no período</w:t>
            </w:r>
          </w:p>
        </w:tc>
      </w:tr>
      <w:tr w:rsidR="00FC62AB" w:rsidRPr="00EA2D55" w14:paraId="5186C870" w14:textId="77777777" w:rsidTr="00AA7D8C">
        <w:trPr>
          <w:trHeight w:val="1935"/>
        </w:trPr>
        <w:tc>
          <w:tcPr>
            <w:tcW w:w="1537" w:type="dxa"/>
            <w:vMerge w:val="restart"/>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00000044" w14:textId="77777777" w:rsidR="00FC62A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67531</w:t>
            </w:r>
          </w:p>
        </w:tc>
        <w:tc>
          <w:tcPr>
            <w:tcW w:w="1275" w:type="dxa"/>
            <w:vMerge w:val="restart"/>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5" w14:textId="77777777" w:rsidR="00FC62AB" w:rsidRPr="00EA2D55" w:rsidRDefault="00623C0A">
            <w:pPr>
              <w:spacing w:after="0" w:line="240" w:lineRule="auto"/>
              <w:jc w:val="center"/>
              <w:rPr>
                <w:rFonts w:ascii="Times New Roman" w:eastAsia="Lato" w:hAnsi="Times New Roman" w:cs="Times New Roman"/>
                <w:b/>
                <w:sz w:val="20"/>
                <w:szCs w:val="20"/>
              </w:rPr>
            </w:pPr>
            <w:r w:rsidRPr="00EA2D55">
              <w:rPr>
                <w:rFonts w:ascii="Times New Roman" w:eastAsia="Lato" w:hAnsi="Times New Roman" w:cs="Times New Roman"/>
                <w:b/>
                <w:sz w:val="20"/>
                <w:szCs w:val="20"/>
              </w:rPr>
              <w:t>Depósitos</w:t>
            </w: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6"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Entrada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7" w14:textId="77777777"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1. Contrato de câmbio de saída OU censo de capitais brasileiros no exterior identificando a disponibilidade</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 xml:space="preserve">2. OU cópia do processo judicial que ateste o valor depositado OU Stand </w:t>
            </w:r>
            <w:proofErr w:type="spellStart"/>
            <w:r w:rsidRPr="00EA2D55">
              <w:rPr>
                <w:rFonts w:ascii="Times New Roman" w:eastAsia="Lato" w:hAnsi="Times New Roman" w:cs="Times New Roman"/>
                <w:sz w:val="20"/>
                <w:szCs w:val="20"/>
              </w:rPr>
              <w:t>by</w:t>
            </w:r>
            <w:proofErr w:type="spellEnd"/>
            <w:r w:rsidRPr="00EA2D55">
              <w:rPr>
                <w:rFonts w:ascii="Times New Roman" w:eastAsia="Lato" w:hAnsi="Times New Roman" w:cs="Times New Roman"/>
                <w:sz w:val="20"/>
                <w:szCs w:val="20"/>
              </w:rPr>
              <w:t xml:space="preserve"> </w:t>
            </w:r>
            <w:proofErr w:type="spellStart"/>
            <w:r w:rsidRPr="00EA2D55">
              <w:rPr>
                <w:rFonts w:ascii="Times New Roman" w:eastAsia="Lato" w:hAnsi="Times New Roman" w:cs="Times New Roman"/>
                <w:sz w:val="20"/>
                <w:szCs w:val="20"/>
              </w:rPr>
              <w:t>Letter</w:t>
            </w:r>
            <w:proofErr w:type="spellEnd"/>
            <w:r w:rsidRPr="00EA2D55">
              <w:rPr>
                <w:rFonts w:ascii="Times New Roman" w:eastAsia="Lato" w:hAnsi="Times New Roman" w:cs="Times New Roman"/>
                <w:sz w:val="20"/>
                <w:szCs w:val="20"/>
              </w:rPr>
              <w:t xml:space="preserve"> </w:t>
            </w:r>
            <w:proofErr w:type="spellStart"/>
            <w:r w:rsidRPr="00EA2D55">
              <w:rPr>
                <w:rFonts w:ascii="Times New Roman" w:eastAsia="Lato" w:hAnsi="Times New Roman" w:cs="Times New Roman"/>
                <w:sz w:val="20"/>
                <w:szCs w:val="20"/>
              </w:rPr>
              <w:t>of</w:t>
            </w:r>
            <w:proofErr w:type="spellEnd"/>
            <w:r w:rsidRPr="00EA2D55">
              <w:rPr>
                <w:rFonts w:ascii="Times New Roman" w:eastAsia="Lato" w:hAnsi="Times New Roman" w:cs="Times New Roman"/>
                <w:sz w:val="20"/>
                <w:szCs w:val="20"/>
              </w:rPr>
              <w:t xml:space="preserve"> </w:t>
            </w:r>
            <w:proofErr w:type="spellStart"/>
            <w:r w:rsidRPr="00EA2D55">
              <w:rPr>
                <w:rFonts w:ascii="Times New Roman" w:eastAsia="Lato" w:hAnsi="Times New Roman" w:cs="Times New Roman"/>
                <w:sz w:val="20"/>
                <w:szCs w:val="20"/>
              </w:rPr>
              <w:t>Credit</w:t>
            </w:r>
            <w:proofErr w:type="spellEnd"/>
            <w:r w:rsidRPr="00EA2D55">
              <w:rPr>
                <w:rFonts w:ascii="Times New Roman" w:eastAsia="Lato" w:hAnsi="Times New Roman" w:cs="Times New Roman"/>
                <w:sz w:val="20"/>
                <w:szCs w:val="20"/>
              </w:rPr>
              <w:t xml:space="preserve"> OU outro instrumento pelo qual a garantia é formalizada</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3</w:t>
            </w:r>
            <w:sdt>
              <w:sdtPr>
                <w:rPr>
                  <w:rFonts w:ascii="Times New Roman" w:hAnsi="Times New Roman" w:cs="Times New Roman"/>
                </w:rPr>
                <w:tag w:val="goog_rdk_10"/>
                <w:id w:val="-421277715"/>
              </w:sdtPr>
              <w:sdtEndPr/>
              <w:sdtContent/>
            </w:sdt>
            <w:r w:rsidRPr="00EA2D55">
              <w:rPr>
                <w:rFonts w:ascii="Times New Roman" w:eastAsia="Lato" w:hAnsi="Times New Roman" w:cs="Times New Roman"/>
                <w:sz w:val="20"/>
                <w:szCs w:val="20"/>
              </w:rPr>
              <w:t>. OU pedido de reembolso/pagamento (</w:t>
            </w:r>
            <w:proofErr w:type="spellStart"/>
            <w:r w:rsidRPr="00EA2D55">
              <w:rPr>
                <w:rFonts w:ascii="Times New Roman" w:eastAsia="Lato" w:hAnsi="Times New Roman" w:cs="Times New Roman"/>
                <w:sz w:val="20"/>
                <w:szCs w:val="20"/>
              </w:rPr>
              <w:t>claim</w:t>
            </w:r>
            <w:proofErr w:type="spellEnd"/>
            <w:r w:rsidRPr="00EA2D55">
              <w:rPr>
                <w:rFonts w:ascii="Times New Roman" w:eastAsia="Lato" w:hAnsi="Times New Roman" w:cs="Times New Roman"/>
                <w:sz w:val="20"/>
                <w:szCs w:val="20"/>
              </w:rPr>
              <w:t xml:space="preserve">) OU declaração referente a natureza do pagamento </w:t>
            </w:r>
          </w:p>
        </w:tc>
      </w:tr>
      <w:tr w:rsidR="00FC62AB" w:rsidRPr="00EA2D55" w14:paraId="5EA46438" w14:textId="77777777" w:rsidTr="00AA7D8C">
        <w:trPr>
          <w:trHeight w:val="2535"/>
        </w:trPr>
        <w:tc>
          <w:tcPr>
            <w:tcW w:w="1537" w:type="dxa"/>
            <w:vMerge/>
            <w:tcBorders>
              <w:top w:val="single" w:sz="6" w:space="0" w:color="CCCCCC"/>
              <w:left w:val="single" w:sz="18" w:space="0" w:color="FFFFFF"/>
              <w:bottom w:val="single" w:sz="18" w:space="0" w:color="FFFFFF"/>
              <w:right w:val="single" w:sz="18" w:space="0" w:color="FFFFFF"/>
            </w:tcBorders>
            <w:shd w:val="clear" w:color="auto" w:fill="DEEAF6"/>
            <w:tcMar>
              <w:top w:w="0" w:type="dxa"/>
              <w:left w:w="45" w:type="dxa"/>
              <w:bottom w:w="0" w:type="dxa"/>
              <w:right w:w="45" w:type="dxa"/>
            </w:tcMar>
            <w:vAlign w:val="center"/>
          </w:tcPr>
          <w:p w14:paraId="00000048"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1275" w:type="dxa"/>
            <w:vMerge/>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9" w14:textId="77777777" w:rsidR="00FC62AB" w:rsidRPr="00EA2D55" w:rsidRDefault="00FC62AB">
            <w:pPr>
              <w:widowControl w:val="0"/>
              <w:pBdr>
                <w:top w:val="nil"/>
                <w:left w:val="nil"/>
                <w:bottom w:val="nil"/>
                <w:right w:val="nil"/>
                <w:between w:val="nil"/>
              </w:pBdr>
              <w:spacing w:after="0" w:line="276" w:lineRule="auto"/>
              <w:rPr>
                <w:rFonts w:ascii="Times New Roman" w:eastAsia="Lato" w:hAnsi="Times New Roman" w:cs="Times New Roman"/>
                <w:sz w:val="20"/>
                <w:szCs w:val="20"/>
              </w:rPr>
            </w:pPr>
          </w:p>
        </w:tc>
        <w:tc>
          <w:tcPr>
            <w:tcW w:w="851"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A" w14:textId="77777777" w:rsidR="00FC62AB" w:rsidRPr="00EA2D55" w:rsidRDefault="00623C0A">
            <w:pPr>
              <w:spacing w:after="0" w:line="240" w:lineRule="auto"/>
              <w:jc w:val="center"/>
              <w:rPr>
                <w:rFonts w:ascii="Times New Roman" w:eastAsia="Lato" w:hAnsi="Times New Roman" w:cs="Times New Roman"/>
                <w:sz w:val="20"/>
                <w:szCs w:val="20"/>
              </w:rPr>
            </w:pPr>
            <w:r w:rsidRPr="00EA2D55">
              <w:rPr>
                <w:rFonts w:ascii="Times New Roman" w:eastAsia="Lato" w:hAnsi="Times New Roman" w:cs="Times New Roman"/>
                <w:sz w:val="20"/>
                <w:szCs w:val="20"/>
              </w:rPr>
              <w:t>Saída</w:t>
            </w:r>
          </w:p>
        </w:tc>
        <w:tc>
          <w:tcPr>
            <w:tcW w:w="4795" w:type="dxa"/>
            <w:tcBorders>
              <w:top w:val="single" w:sz="6" w:space="0" w:color="CCCCCC"/>
              <w:left w:val="single" w:sz="6" w:space="0" w:color="CCCCCC"/>
              <w:bottom w:val="single" w:sz="18" w:space="0" w:color="FFFFFF"/>
              <w:right w:val="single" w:sz="18" w:space="0" w:color="FFFFFF"/>
            </w:tcBorders>
            <w:shd w:val="clear" w:color="auto" w:fill="DEEAF6"/>
            <w:tcMar>
              <w:top w:w="0" w:type="dxa"/>
              <w:left w:w="45" w:type="dxa"/>
              <w:bottom w:w="0" w:type="dxa"/>
              <w:right w:w="45" w:type="dxa"/>
            </w:tcMar>
            <w:vAlign w:val="center"/>
          </w:tcPr>
          <w:p w14:paraId="0000004B" w14:textId="495B2DFA" w:rsidR="00FC62AB" w:rsidRPr="00EA2D55" w:rsidRDefault="00623C0A">
            <w:pPr>
              <w:spacing w:after="0" w:line="240" w:lineRule="auto"/>
              <w:rPr>
                <w:rFonts w:ascii="Times New Roman" w:eastAsia="Lato" w:hAnsi="Times New Roman" w:cs="Times New Roman"/>
                <w:sz w:val="20"/>
                <w:szCs w:val="20"/>
              </w:rPr>
            </w:pPr>
            <w:r w:rsidRPr="00EA2D55">
              <w:rPr>
                <w:rFonts w:ascii="Times New Roman" w:eastAsia="Lato" w:hAnsi="Times New Roman" w:cs="Times New Roman"/>
                <w:sz w:val="20"/>
                <w:szCs w:val="20"/>
              </w:rPr>
              <w:t>1</w:t>
            </w:r>
            <w:sdt>
              <w:sdtPr>
                <w:rPr>
                  <w:rFonts w:ascii="Times New Roman" w:hAnsi="Times New Roman" w:cs="Times New Roman"/>
                </w:rPr>
                <w:tag w:val="goog_rdk_11"/>
                <w:id w:val="2146247121"/>
              </w:sdtPr>
              <w:sdtEndPr/>
              <w:sdtContent/>
            </w:sdt>
            <w:r w:rsidRPr="00EA2D55">
              <w:rPr>
                <w:rFonts w:ascii="Times New Roman" w:eastAsia="Lato" w:hAnsi="Times New Roman" w:cs="Times New Roman"/>
                <w:sz w:val="20"/>
                <w:szCs w:val="20"/>
              </w:rPr>
              <w:t>. Documento comprovando o recolhimento dos tributos (DARF/</w:t>
            </w:r>
            <w:proofErr w:type="spellStart"/>
            <w:r w:rsidRPr="00EA2D55">
              <w:rPr>
                <w:rFonts w:ascii="Times New Roman" w:eastAsia="Lato" w:hAnsi="Times New Roman" w:cs="Times New Roman"/>
                <w:sz w:val="20"/>
                <w:szCs w:val="20"/>
              </w:rPr>
              <w:t>Percomp</w:t>
            </w:r>
            <w:proofErr w:type="spellEnd"/>
            <w:r w:rsidRPr="00EA2D55">
              <w:rPr>
                <w:rFonts w:ascii="Times New Roman" w:eastAsia="Lato" w:hAnsi="Times New Roman" w:cs="Times New Roman"/>
                <w:sz w:val="20"/>
                <w:szCs w:val="20"/>
              </w:rPr>
              <w:t xml:space="preserve">) </w:t>
            </w:r>
            <w:r w:rsidR="008B5353" w:rsidRPr="00EA2D55">
              <w:rPr>
                <w:rFonts w:ascii="Times New Roman" w:eastAsia="Lato" w:hAnsi="Times New Roman" w:cs="Times New Roman"/>
                <w:sz w:val="20"/>
                <w:szCs w:val="20"/>
              </w:rPr>
              <w:t xml:space="preserve">se aplicável </w:t>
            </w:r>
            <w:r w:rsidRPr="00EA2D55">
              <w:rPr>
                <w:rFonts w:ascii="Times New Roman" w:eastAsia="Lato" w:hAnsi="Times New Roman" w:cs="Times New Roman"/>
                <w:sz w:val="20"/>
                <w:szCs w:val="20"/>
              </w:rPr>
              <w:t>OU base legal para isenção</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 xml:space="preserve">2. </w:t>
            </w:r>
            <w:sdt>
              <w:sdtPr>
                <w:rPr>
                  <w:rFonts w:ascii="Times New Roman" w:hAnsi="Times New Roman" w:cs="Times New Roman"/>
                </w:rPr>
                <w:tag w:val="goog_rdk_12"/>
                <w:id w:val="1178582362"/>
              </w:sdtPr>
              <w:sdtEndPr/>
              <w:sdtContent/>
            </w:sdt>
            <w:r w:rsidRPr="00EA2D55">
              <w:rPr>
                <w:rFonts w:ascii="Times New Roman" w:eastAsia="Lato" w:hAnsi="Times New Roman" w:cs="Times New Roman"/>
                <w:sz w:val="20"/>
                <w:szCs w:val="20"/>
              </w:rPr>
              <w:t>Contrato de câmbio de saída OU censo de capitais brasileiros no exterior identificando a disponibilidade</w:t>
            </w:r>
            <w:r w:rsidR="008B5353" w:rsidRPr="00EA2D55">
              <w:rPr>
                <w:rFonts w:ascii="Times New Roman" w:eastAsia="Lato" w:hAnsi="Times New Roman" w:cs="Times New Roman"/>
                <w:sz w:val="20"/>
                <w:szCs w:val="20"/>
              </w:rPr>
              <w:t xml:space="preserve"> e balancete comprovando a origem dos recursos.</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t xml:space="preserve">3. OU cópia do processo judicial que ateste o valor depositado OU Stand </w:t>
            </w:r>
            <w:proofErr w:type="spellStart"/>
            <w:r w:rsidRPr="00EA2D55">
              <w:rPr>
                <w:rFonts w:ascii="Times New Roman" w:eastAsia="Lato" w:hAnsi="Times New Roman" w:cs="Times New Roman"/>
                <w:sz w:val="20"/>
                <w:szCs w:val="20"/>
              </w:rPr>
              <w:t>by</w:t>
            </w:r>
            <w:proofErr w:type="spellEnd"/>
            <w:r w:rsidRPr="00EA2D55">
              <w:rPr>
                <w:rFonts w:ascii="Times New Roman" w:eastAsia="Lato" w:hAnsi="Times New Roman" w:cs="Times New Roman"/>
                <w:sz w:val="20"/>
                <w:szCs w:val="20"/>
              </w:rPr>
              <w:t xml:space="preserve"> </w:t>
            </w:r>
            <w:proofErr w:type="spellStart"/>
            <w:r w:rsidRPr="00EA2D55">
              <w:rPr>
                <w:rFonts w:ascii="Times New Roman" w:eastAsia="Lato" w:hAnsi="Times New Roman" w:cs="Times New Roman"/>
                <w:sz w:val="20"/>
                <w:szCs w:val="20"/>
              </w:rPr>
              <w:t>Letter</w:t>
            </w:r>
            <w:proofErr w:type="spellEnd"/>
            <w:r w:rsidRPr="00EA2D55">
              <w:rPr>
                <w:rFonts w:ascii="Times New Roman" w:eastAsia="Lato" w:hAnsi="Times New Roman" w:cs="Times New Roman"/>
                <w:sz w:val="20"/>
                <w:szCs w:val="20"/>
              </w:rPr>
              <w:t xml:space="preserve"> </w:t>
            </w:r>
            <w:proofErr w:type="spellStart"/>
            <w:r w:rsidRPr="00EA2D55">
              <w:rPr>
                <w:rFonts w:ascii="Times New Roman" w:eastAsia="Lato" w:hAnsi="Times New Roman" w:cs="Times New Roman"/>
                <w:sz w:val="20"/>
                <w:szCs w:val="20"/>
              </w:rPr>
              <w:t>of</w:t>
            </w:r>
            <w:proofErr w:type="spellEnd"/>
            <w:r w:rsidRPr="00EA2D55">
              <w:rPr>
                <w:rFonts w:ascii="Times New Roman" w:eastAsia="Lato" w:hAnsi="Times New Roman" w:cs="Times New Roman"/>
                <w:sz w:val="20"/>
                <w:szCs w:val="20"/>
              </w:rPr>
              <w:t xml:space="preserve"> </w:t>
            </w:r>
            <w:proofErr w:type="spellStart"/>
            <w:r w:rsidRPr="00EA2D55">
              <w:rPr>
                <w:rFonts w:ascii="Times New Roman" w:eastAsia="Lato" w:hAnsi="Times New Roman" w:cs="Times New Roman"/>
                <w:sz w:val="20"/>
                <w:szCs w:val="20"/>
              </w:rPr>
              <w:t>Credit</w:t>
            </w:r>
            <w:proofErr w:type="spellEnd"/>
            <w:r w:rsidRPr="00EA2D55">
              <w:rPr>
                <w:rFonts w:ascii="Times New Roman" w:eastAsia="Lato" w:hAnsi="Times New Roman" w:cs="Times New Roman"/>
                <w:sz w:val="20"/>
                <w:szCs w:val="20"/>
              </w:rPr>
              <w:t xml:space="preserve"> OU outro instrumento pelo qual a garantia é formalizada</w:t>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br/>
            </w:r>
            <w:r w:rsidRPr="00EA2D55">
              <w:rPr>
                <w:rFonts w:ascii="Times New Roman" w:eastAsia="Lato" w:hAnsi="Times New Roman" w:cs="Times New Roman"/>
                <w:sz w:val="20"/>
                <w:szCs w:val="20"/>
              </w:rPr>
              <w:lastRenderedPageBreak/>
              <w:t xml:space="preserve">4. </w:t>
            </w:r>
            <w:sdt>
              <w:sdtPr>
                <w:rPr>
                  <w:rFonts w:ascii="Times New Roman" w:hAnsi="Times New Roman" w:cs="Times New Roman"/>
                </w:rPr>
                <w:tag w:val="goog_rdk_13"/>
                <w:id w:val="-824526507"/>
              </w:sdtPr>
              <w:sdtEndPr/>
              <w:sdtContent/>
            </w:sdt>
            <w:r w:rsidRPr="00EA2D55">
              <w:rPr>
                <w:rFonts w:ascii="Times New Roman" w:eastAsia="Lato" w:hAnsi="Times New Roman" w:cs="Times New Roman"/>
                <w:sz w:val="20"/>
                <w:szCs w:val="20"/>
              </w:rPr>
              <w:t>OU pedido de reembolso/pagamento (</w:t>
            </w:r>
            <w:proofErr w:type="spellStart"/>
            <w:r w:rsidRPr="00EA2D55">
              <w:rPr>
                <w:rFonts w:ascii="Times New Roman" w:eastAsia="Lato" w:hAnsi="Times New Roman" w:cs="Times New Roman"/>
                <w:sz w:val="20"/>
                <w:szCs w:val="20"/>
              </w:rPr>
              <w:t>claim</w:t>
            </w:r>
            <w:proofErr w:type="spellEnd"/>
            <w:r w:rsidRPr="00EA2D55">
              <w:rPr>
                <w:rFonts w:ascii="Times New Roman" w:eastAsia="Lato" w:hAnsi="Times New Roman" w:cs="Times New Roman"/>
                <w:sz w:val="20"/>
                <w:szCs w:val="20"/>
              </w:rPr>
              <w:t xml:space="preserve">) OU declaração referente a natureza do pagamento </w:t>
            </w:r>
          </w:p>
        </w:tc>
      </w:tr>
    </w:tbl>
    <w:p w14:paraId="0000004C" w14:textId="77777777" w:rsidR="00FC62AB" w:rsidRPr="00EA2D55" w:rsidRDefault="00FC62AB">
      <w:pPr>
        <w:rPr>
          <w:rFonts w:ascii="Times New Roman" w:eastAsia="Times New Roman" w:hAnsi="Times New Roman" w:cs="Times New Roman"/>
          <w:sz w:val="24"/>
          <w:szCs w:val="24"/>
        </w:rPr>
      </w:pPr>
    </w:p>
    <w:p w14:paraId="0000004D" w14:textId="77777777" w:rsidR="00FC62AB" w:rsidRPr="00EA2D55" w:rsidRDefault="00623C0A">
      <w:pPr>
        <w:numPr>
          <w:ilvl w:val="0"/>
          <w:numId w:val="1"/>
        </w:numPr>
        <w:pBdr>
          <w:top w:val="nil"/>
          <w:left w:val="nil"/>
          <w:bottom w:val="nil"/>
          <w:right w:val="nil"/>
          <w:between w:val="nil"/>
        </w:pBdr>
        <w:ind w:left="709" w:hanging="709"/>
        <w:rPr>
          <w:rFonts w:ascii="Times New Roman" w:eastAsia="Times New Roman" w:hAnsi="Times New Roman" w:cs="Times New Roman"/>
          <w:b/>
          <w:color w:val="000000"/>
          <w:sz w:val="24"/>
          <w:szCs w:val="24"/>
        </w:rPr>
      </w:pPr>
      <w:r w:rsidRPr="00EA2D55">
        <w:rPr>
          <w:rFonts w:ascii="Times New Roman" w:eastAsia="Times New Roman" w:hAnsi="Times New Roman" w:cs="Times New Roman"/>
          <w:b/>
          <w:color w:val="000000"/>
          <w:sz w:val="24"/>
          <w:szCs w:val="24"/>
        </w:rPr>
        <w:t xml:space="preserve">Contatos no BBVA Brasil </w:t>
      </w:r>
    </w:p>
    <w:p w14:paraId="0000004E" w14:textId="5DA0C6E2" w:rsidR="00FC62AB" w:rsidRPr="00EA2D55" w:rsidRDefault="00623C0A">
      <w:pPr>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Em caso de dúvida sobre as operações de câmbio ou sobre as informações constantes neste material, por favor, entre em contato com seu representante de vendas no BBVA Brasil</w:t>
      </w:r>
      <w:r w:rsidR="00EA2D55" w:rsidRPr="00EA2D55">
        <w:rPr>
          <w:rFonts w:ascii="Times New Roman" w:eastAsia="Times New Roman" w:hAnsi="Times New Roman" w:cs="Times New Roman"/>
          <w:sz w:val="24"/>
          <w:szCs w:val="24"/>
        </w:rPr>
        <w:t xml:space="preserve"> ou</w:t>
      </w:r>
      <w:r w:rsidRPr="00EA2D55">
        <w:rPr>
          <w:rFonts w:ascii="Times New Roman" w:eastAsia="Times New Roman" w:hAnsi="Times New Roman" w:cs="Times New Roman"/>
          <w:sz w:val="24"/>
          <w:szCs w:val="24"/>
        </w:rPr>
        <w:t xml:space="preserve"> por meio dos seguintes canais:</w:t>
      </w:r>
    </w:p>
    <w:p w14:paraId="0000004F" w14:textId="7C8372F5" w:rsidR="00FC62AB" w:rsidRPr="00EA2D55" w:rsidRDefault="00FC62AB">
      <w:pPr>
        <w:rPr>
          <w:rFonts w:ascii="Times New Roman" w:eastAsia="Times New Roman" w:hAnsi="Times New Roman" w:cs="Times New Roman"/>
          <w:sz w:val="24"/>
          <w:szCs w:val="24"/>
        </w:rPr>
      </w:pPr>
    </w:p>
    <w:p w14:paraId="59DE0BA0" w14:textId="51FA502B" w:rsidR="00EA2D55" w:rsidRPr="00EA2D55" w:rsidRDefault="00EA2D55">
      <w:pPr>
        <w:rPr>
          <w:rFonts w:ascii="Times New Roman" w:hAnsi="Times New Roman" w:cs="Times New Roman"/>
        </w:rPr>
      </w:pPr>
      <w:r w:rsidRPr="00EA2D55">
        <w:rPr>
          <w:rFonts w:ascii="Times New Roman" w:hAnsi="Times New Roman" w:cs="Times New Roman"/>
        </w:rPr>
        <w:t xml:space="preserve">E-mail: </w:t>
      </w:r>
      <w:hyperlink r:id="rId12" w:history="1">
        <w:r w:rsidRPr="00EA2D55">
          <w:rPr>
            <w:rStyle w:val="Hyperlink"/>
            <w:rFonts w:ascii="Times New Roman" w:hAnsi="Times New Roman" w:cs="Times New Roman"/>
            <w:shd w:val="clear" w:color="auto" w:fill="FFFFFF"/>
          </w:rPr>
          <w:t>cambio.ops.brasil@bbva.com</w:t>
        </w:r>
      </w:hyperlink>
    </w:p>
    <w:p w14:paraId="3EA8F9E0" w14:textId="6E6DE218" w:rsidR="00EA2D55" w:rsidRPr="00EA2D55" w:rsidRDefault="00EA2D55" w:rsidP="00EA2D55">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Telefone: </w:t>
      </w:r>
      <w:r w:rsidR="00D66579">
        <w:rPr>
          <w:rFonts w:ascii="Times New Roman" w:eastAsia="Times New Roman" w:hAnsi="Times New Roman" w:cs="Times New Roman"/>
          <w:sz w:val="24"/>
          <w:szCs w:val="24"/>
        </w:rPr>
        <w:t>+55 (</w:t>
      </w:r>
      <w:r w:rsidRPr="00EA2D55">
        <w:rPr>
          <w:rFonts w:ascii="Times New Roman" w:eastAsia="Times New Roman" w:hAnsi="Times New Roman" w:cs="Times New Roman"/>
          <w:sz w:val="24"/>
          <w:szCs w:val="24"/>
          <w:lang w:val="en-US"/>
        </w:rPr>
        <w:t>11</w:t>
      </w:r>
      <w:r w:rsidR="00D66579">
        <w:rPr>
          <w:rFonts w:ascii="Times New Roman" w:eastAsia="Times New Roman" w:hAnsi="Times New Roman" w:cs="Times New Roman"/>
          <w:sz w:val="24"/>
          <w:szCs w:val="24"/>
          <w:lang w:val="en-US"/>
        </w:rPr>
        <w:t>)</w:t>
      </w:r>
      <w:r w:rsidRPr="00EA2D55">
        <w:rPr>
          <w:rFonts w:ascii="Times New Roman" w:eastAsia="Times New Roman" w:hAnsi="Times New Roman" w:cs="Times New Roman"/>
          <w:sz w:val="24"/>
          <w:szCs w:val="24"/>
          <w:lang w:val="en-US"/>
        </w:rPr>
        <w:t xml:space="preserve"> 93053-3674</w:t>
      </w:r>
    </w:p>
    <w:p w14:paraId="00000051" w14:textId="7386D905" w:rsidR="00FC62AB" w:rsidRDefault="00FC62AB">
      <w:pPr>
        <w:rPr>
          <w:rFonts w:ascii="Times New Roman" w:eastAsia="Times New Roman" w:hAnsi="Times New Roman" w:cs="Times New Roman"/>
          <w:sz w:val="24"/>
          <w:szCs w:val="24"/>
        </w:rPr>
      </w:pPr>
    </w:p>
    <w:p w14:paraId="17407C12" w14:textId="77777777" w:rsidR="00EA2D55" w:rsidRPr="00EA2D55" w:rsidRDefault="00EA2D55">
      <w:pPr>
        <w:rPr>
          <w:rFonts w:ascii="Times New Roman" w:eastAsia="Times New Roman" w:hAnsi="Times New Roman" w:cs="Times New Roman"/>
          <w:sz w:val="24"/>
          <w:szCs w:val="24"/>
        </w:rPr>
      </w:pPr>
    </w:p>
    <w:p w14:paraId="00000052" w14:textId="77777777" w:rsidR="00FC62AB" w:rsidRPr="00EA2D55" w:rsidRDefault="00623C0A">
      <w:pPr>
        <w:numPr>
          <w:ilvl w:val="0"/>
          <w:numId w:val="1"/>
        </w:numPr>
        <w:pBdr>
          <w:top w:val="nil"/>
          <w:left w:val="nil"/>
          <w:bottom w:val="nil"/>
          <w:right w:val="nil"/>
          <w:between w:val="nil"/>
        </w:pBdr>
        <w:ind w:hanging="720"/>
        <w:rPr>
          <w:rFonts w:ascii="Times New Roman" w:eastAsia="Times New Roman" w:hAnsi="Times New Roman" w:cs="Times New Roman"/>
          <w:b/>
          <w:color w:val="000000"/>
          <w:sz w:val="24"/>
          <w:szCs w:val="24"/>
        </w:rPr>
      </w:pPr>
      <w:r w:rsidRPr="00EA2D55">
        <w:rPr>
          <w:rFonts w:ascii="Times New Roman" w:eastAsia="Times New Roman" w:hAnsi="Times New Roman" w:cs="Times New Roman"/>
          <w:b/>
          <w:color w:val="000000"/>
          <w:sz w:val="24"/>
          <w:szCs w:val="24"/>
        </w:rPr>
        <w:t>Capitais Estrangeiros</w:t>
      </w:r>
    </w:p>
    <w:p w14:paraId="00000053" w14:textId="77777777" w:rsidR="00FC62AB" w:rsidRPr="00EA2D55" w:rsidRDefault="00623C0A">
      <w:pPr>
        <w:spacing w:after="0" w:line="240" w:lineRule="auto"/>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O capital estrangeiro é definido pelo Novo Marco Cambial como o crédito externo e o investimento estrangeiro direto.</w:t>
      </w:r>
    </w:p>
    <w:p w14:paraId="00000054" w14:textId="77777777" w:rsidR="00FC62AB" w:rsidRPr="00EA2D55" w:rsidRDefault="00FC62AB">
      <w:pPr>
        <w:spacing w:after="0" w:line="240" w:lineRule="auto"/>
        <w:jc w:val="both"/>
        <w:rPr>
          <w:rFonts w:ascii="Times New Roman" w:eastAsia="Times New Roman" w:hAnsi="Times New Roman" w:cs="Times New Roman"/>
          <w:sz w:val="24"/>
          <w:szCs w:val="24"/>
        </w:rPr>
      </w:pPr>
    </w:p>
    <w:p w14:paraId="00000055" w14:textId="77777777" w:rsidR="00FC62AB" w:rsidRPr="00EA2D55" w:rsidRDefault="00623C0A">
      <w:pPr>
        <w:spacing w:after="0" w:line="240" w:lineRule="auto"/>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Devem ser prestadas ao Banco Central do Brasil as informações relativas a operações de crédito externo e de investimento estrangeiro direto nas seguintes situações:</w:t>
      </w:r>
    </w:p>
    <w:p w14:paraId="00000056" w14:textId="77777777" w:rsidR="00FC62AB" w:rsidRPr="00EA2D55" w:rsidRDefault="00FC62AB">
      <w:pPr>
        <w:spacing w:after="0" w:line="240" w:lineRule="auto"/>
        <w:jc w:val="both"/>
        <w:rPr>
          <w:rFonts w:ascii="Times New Roman" w:eastAsia="Arial" w:hAnsi="Times New Roman" w:cs="Times New Roman"/>
          <w:sz w:val="24"/>
          <w:szCs w:val="24"/>
        </w:rPr>
      </w:pPr>
    </w:p>
    <w:p w14:paraId="00000057" w14:textId="77777777" w:rsidR="00FC62AB" w:rsidRPr="00EA2D55" w:rsidRDefault="00623C0A">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A2D55">
        <w:rPr>
          <w:rFonts w:ascii="Times New Roman" w:eastAsia="Times New Roman" w:hAnsi="Times New Roman" w:cs="Times New Roman"/>
          <w:color w:val="000000"/>
          <w:sz w:val="24"/>
          <w:szCs w:val="24"/>
        </w:rPr>
        <w:t>Importação financiada de bens ou serviços em valor igual ou superior a US$ 500 mil com prazo de pagamento maior que 180 dias;</w:t>
      </w:r>
    </w:p>
    <w:p w14:paraId="00000058" w14:textId="77777777" w:rsidR="00FC62AB" w:rsidRPr="00EA2D55" w:rsidRDefault="00623C0A">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A2D55">
        <w:rPr>
          <w:rFonts w:ascii="Times New Roman" w:eastAsia="Times New Roman" w:hAnsi="Times New Roman" w:cs="Times New Roman"/>
          <w:color w:val="000000"/>
          <w:sz w:val="24"/>
          <w:szCs w:val="24"/>
        </w:rPr>
        <w:t>Recebimento antecipado de exportação e arrendamento mercantil financeiro externo valor igual ou superior a US$ 1 milhão com prazo de pagamento maior que 360 dias;</w:t>
      </w:r>
    </w:p>
    <w:p w14:paraId="00000059" w14:textId="77777777" w:rsidR="00FC62AB" w:rsidRPr="00EA2D55" w:rsidRDefault="00623C0A">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A2D55">
        <w:rPr>
          <w:rFonts w:ascii="Times New Roman" w:eastAsia="Times New Roman" w:hAnsi="Times New Roman" w:cs="Times New Roman"/>
          <w:color w:val="000000"/>
          <w:sz w:val="24"/>
          <w:szCs w:val="24"/>
        </w:rPr>
        <w:t>Investimento estrangeiro direto com movimentação igual ou superior a US$ 100 mil;</w:t>
      </w:r>
    </w:p>
    <w:p w14:paraId="0000005A" w14:textId="77777777" w:rsidR="00FC62AB" w:rsidRPr="00EA2D55" w:rsidRDefault="00623C0A">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sz w:val="24"/>
          <w:szCs w:val="24"/>
        </w:rPr>
      </w:pPr>
      <w:r w:rsidRPr="00EA2D55">
        <w:rPr>
          <w:rFonts w:ascii="Times New Roman" w:eastAsia="Times New Roman" w:hAnsi="Times New Roman" w:cs="Times New Roman"/>
          <w:color w:val="000000"/>
          <w:sz w:val="24"/>
          <w:szCs w:val="24"/>
        </w:rPr>
        <w:t>Empréstimos diretos oriundos do exterior de valor igual ou superior a US$ 1 milhão, inclusive sem ingresso.</w:t>
      </w:r>
    </w:p>
    <w:p w14:paraId="0000005B" w14:textId="77777777" w:rsidR="00FC62AB" w:rsidRPr="00EA2D55" w:rsidRDefault="00FC62AB">
      <w:pPr>
        <w:jc w:val="center"/>
        <w:rPr>
          <w:rFonts w:ascii="Times New Roman" w:eastAsia="Times New Roman" w:hAnsi="Times New Roman" w:cs="Times New Roman"/>
          <w:b/>
          <w:sz w:val="24"/>
          <w:szCs w:val="24"/>
        </w:rPr>
      </w:pPr>
    </w:p>
    <w:p w14:paraId="1A837550" w14:textId="548FE5C2" w:rsidR="00EA2D55" w:rsidRDefault="00623C0A" w:rsidP="00EA2D55">
      <w:pPr>
        <w:jc w:val="center"/>
        <w:rPr>
          <w:rFonts w:ascii="Times New Roman" w:hAnsi="Times New Roman" w:cs="Times New Roman"/>
        </w:rPr>
      </w:pPr>
      <w:bookmarkStart w:id="1" w:name="_heading=h.t5z1oeyqir65" w:colFirst="0" w:colLast="0"/>
      <w:bookmarkEnd w:id="1"/>
      <w:r w:rsidRPr="00EA2D55">
        <w:rPr>
          <w:rFonts w:ascii="Times New Roman" w:eastAsia="Times New Roman" w:hAnsi="Times New Roman" w:cs="Times New Roman"/>
          <w:b/>
          <w:sz w:val="24"/>
          <w:szCs w:val="24"/>
        </w:rPr>
        <w:t>*****</w:t>
      </w:r>
    </w:p>
    <w:p w14:paraId="489D381D" w14:textId="527E82BB" w:rsidR="00EA2D55" w:rsidRDefault="00EA2D55">
      <w:pPr>
        <w:rPr>
          <w:rFonts w:ascii="Times New Roman" w:hAnsi="Times New Roman" w:cs="Times New Roman"/>
        </w:rPr>
      </w:pPr>
    </w:p>
    <w:p w14:paraId="5A6A23BD" w14:textId="34E9E167" w:rsidR="00EA2D55" w:rsidRDefault="00EA2D55">
      <w:pPr>
        <w:rPr>
          <w:rFonts w:ascii="Times New Roman" w:hAnsi="Times New Roman" w:cs="Times New Roman"/>
        </w:rPr>
      </w:pPr>
    </w:p>
    <w:p w14:paraId="0B78FACC" w14:textId="3B3A1770" w:rsidR="00EA2D55" w:rsidRDefault="00EA2D55">
      <w:pPr>
        <w:rPr>
          <w:rFonts w:ascii="Times New Roman" w:hAnsi="Times New Roman" w:cs="Times New Roman"/>
        </w:rPr>
      </w:pPr>
    </w:p>
    <w:p w14:paraId="3EA1E76C" w14:textId="77777777" w:rsidR="00EA2D55" w:rsidRPr="00EA2D55" w:rsidRDefault="00EA2D55">
      <w:pPr>
        <w:rPr>
          <w:rFonts w:ascii="Times New Roman" w:hAnsi="Times New Roman" w:cs="Times New Roman"/>
        </w:rPr>
      </w:pPr>
    </w:p>
    <w:p w14:paraId="00000073" w14:textId="77777777" w:rsidR="00FC62AB" w:rsidRPr="00EA2D55" w:rsidRDefault="00623C0A">
      <w:pPr>
        <w:pStyle w:val="Heading1"/>
        <w:jc w:val="center"/>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lastRenderedPageBreak/>
        <w:t xml:space="preserve">Aviso legal </w:t>
      </w:r>
    </w:p>
    <w:p w14:paraId="00000074" w14:textId="77777777" w:rsidR="00FC62AB" w:rsidRPr="00EA2D55" w:rsidRDefault="00FC62AB">
      <w:pPr>
        <w:rPr>
          <w:rFonts w:ascii="Times New Roman" w:eastAsia="Times New Roman" w:hAnsi="Times New Roman" w:cs="Times New Roman"/>
          <w:sz w:val="24"/>
          <w:szCs w:val="24"/>
        </w:rPr>
      </w:pPr>
    </w:p>
    <w:p w14:paraId="00000075"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Este documento e seu conteúdo são fornecidos apenas para fins informativos e não devem ser interpretados como intermediação bancária ou financeira, assessoria de investimentos e/ou recomendação, oferta ou solicitação, nem devem servir de base para qualquer contrato de compra ou venda de valores mobiliários ou outros instrumentos, ou para que afiliadas de banco de investimento ou afiliadas bancárias celebrem qualquer tipo de transação em decorrência das informações aqui contidas.</w:t>
      </w:r>
    </w:p>
    <w:p w14:paraId="00000076"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br/>
        <w:t>O BBVA Brasil não fornece assessoria jurídica, regulatória, fiscal ou contábil. Assim, quaisquer declarações aqui contidas relativas a questões tributárias não foram redigidas nem têm a intenção de serem utilizadas por qualquer contribuinte com o objetivo de evitar penalidades fiscais que eventualmente venham a ser aplicadas e o destinatário deve buscar aconselhamento específico para sua situação junto a um consultor tributário independente.</w:t>
      </w:r>
    </w:p>
    <w:p w14:paraId="00000077"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br/>
        <w:t>Este material foi preparado exclusivamente para o cliente ou potencial cliente ao qual foi diretamente endereçado e entregue, no contexto de uma relação comercial existente ou prospectiva, e não pode ser utilizado ou considerado para qualquer outro propósito que não aquele especificamente previsto em acordo escrito.</w:t>
      </w:r>
    </w:p>
    <w:p w14:paraId="00000078" w14:textId="77777777" w:rsidR="00FC62AB" w:rsidRPr="00EA2D55" w:rsidRDefault="00623C0A">
      <w:pPr>
        <w:jc w:val="both"/>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br/>
        <w:t>O BBVA Brasil não assume qualquer obrigação de atualizar ou revisar este material, que reflete a situação na data de sua disponibilização, estando sujeito a alterações sem aviso prévio.</w:t>
      </w:r>
      <w:r w:rsidRPr="00EA2D55">
        <w:rPr>
          <w:rFonts w:ascii="Times New Roman" w:eastAsia="Times New Roman" w:hAnsi="Times New Roman" w:cs="Times New Roman"/>
          <w:sz w:val="24"/>
          <w:szCs w:val="24"/>
        </w:rPr>
        <w:br/>
      </w:r>
      <w:r w:rsidRPr="00EA2D55">
        <w:rPr>
          <w:rFonts w:ascii="Times New Roman" w:eastAsia="Times New Roman" w:hAnsi="Times New Roman" w:cs="Times New Roman"/>
          <w:sz w:val="24"/>
          <w:szCs w:val="24"/>
        </w:rPr>
        <w:br/>
        <w:t>Sob nenhuma circunstância este material poderá ser exibido, copiado, transmitido ou repassado a qualquer pessoa que não seja seu representante autorizado.</w:t>
      </w:r>
    </w:p>
    <w:p w14:paraId="00000079" w14:textId="77777777" w:rsidR="00FC62AB" w:rsidRPr="00EA2D55" w:rsidRDefault="00FC62AB">
      <w:pPr>
        <w:jc w:val="both"/>
        <w:rPr>
          <w:rFonts w:ascii="Times New Roman" w:eastAsia="Times New Roman" w:hAnsi="Times New Roman" w:cs="Times New Roman"/>
          <w:sz w:val="24"/>
          <w:szCs w:val="24"/>
        </w:rPr>
      </w:pPr>
    </w:p>
    <w:p w14:paraId="0000007A" w14:textId="77777777" w:rsidR="00FC62AB" w:rsidRPr="00EA2D55" w:rsidRDefault="00623C0A">
      <w:pPr>
        <w:jc w:val="center"/>
        <w:rPr>
          <w:rFonts w:ascii="Times New Roman" w:eastAsia="Times New Roman" w:hAnsi="Times New Roman" w:cs="Times New Roman"/>
          <w:sz w:val="24"/>
          <w:szCs w:val="24"/>
        </w:rPr>
      </w:pPr>
      <w:r w:rsidRPr="00EA2D55">
        <w:rPr>
          <w:rFonts w:ascii="Times New Roman" w:eastAsia="Times New Roman" w:hAnsi="Times New Roman" w:cs="Times New Roman"/>
          <w:sz w:val="24"/>
          <w:szCs w:val="24"/>
        </w:rPr>
        <w:t>*****</w:t>
      </w:r>
    </w:p>
    <w:p w14:paraId="0000007B" w14:textId="77777777" w:rsidR="00FC62AB" w:rsidRPr="00EA2D55" w:rsidRDefault="00FC62AB">
      <w:pPr>
        <w:rPr>
          <w:rFonts w:ascii="Times New Roman" w:hAnsi="Times New Roman" w:cs="Times New Roman"/>
        </w:rPr>
      </w:pPr>
    </w:p>
    <w:p w14:paraId="1C810B9D" w14:textId="77777777" w:rsidR="00EA2D55" w:rsidRPr="00EA2D55" w:rsidRDefault="00EA2D55">
      <w:pPr>
        <w:rPr>
          <w:rFonts w:ascii="Times New Roman" w:hAnsi="Times New Roman" w:cs="Times New Roman"/>
        </w:rPr>
      </w:pPr>
    </w:p>
    <w:sectPr w:rsidR="00EA2D55" w:rsidRPr="00EA2D55">
      <w:head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79D0" w14:textId="77777777" w:rsidR="002F4CCA" w:rsidRDefault="002F4CCA">
      <w:pPr>
        <w:spacing w:after="0" w:line="240" w:lineRule="auto"/>
      </w:pPr>
      <w:r>
        <w:separator/>
      </w:r>
    </w:p>
  </w:endnote>
  <w:endnote w:type="continuationSeparator" w:id="0">
    <w:p w14:paraId="73025379" w14:textId="77777777" w:rsidR="002F4CCA" w:rsidRDefault="002F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0DA5" w14:textId="77777777" w:rsidR="002F4CCA" w:rsidRDefault="002F4CCA">
      <w:pPr>
        <w:spacing w:after="0" w:line="240" w:lineRule="auto"/>
      </w:pPr>
      <w:r>
        <w:separator/>
      </w:r>
    </w:p>
  </w:footnote>
  <w:footnote w:type="continuationSeparator" w:id="0">
    <w:p w14:paraId="2914103B" w14:textId="77777777" w:rsidR="002F4CCA" w:rsidRDefault="002F4CCA">
      <w:pPr>
        <w:spacing w:after="0" w:line="240" w:lineRule="auto"/>
      </w:pPr>
      <w:r>
        <w:continuationSeparator/>
      </w:r>
    </w:p>
  </w:footnote>
  <w:footnote w:id="1">
    <w:p w14:paraId="0000007C" w14:textId="77777777" w:rsidR="00FC62AB" w:rsidRDefault="00623C0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 BBVA Brasil não presta consultoria, assim como o presente material, meramente exemplificativo, não deve ser utilizado com essa finalidade. O cliente deve consultar seus próprios assessores para orientação jurídica e tributária.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77777777" w:rsidR="00FC62AB" w:rsidRDefault="00623C0A">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063C3572" wp14:editId="4EDAF80E">
          <wp:extent cx="1666187" cy="831142"/>
          <wp:effectExtent l="0" t="0" r="0" b="0"/>
          <wp:docPr id="705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6187" cy="83114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C6F06"/>
    <w:multiLevelType w:val="multilevel"/>
    <w:tmpl w:val="2A9E7AC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5FE812E8"/>
    <w:multiLevelType w:val="multilevel"/>
    <w:tmpl w:val="0CEC1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E44E74"/>
    <w:multiLevelType w:val="multilevel"/>
    <w:tmpl w:val="FE7EF664"/>
    <w:lvl w:ilvl="0">
      <w:start w:val="1"/>
      <w:numFmt w:val="decimal"/>
      <w:lvlText w:val="%1."/>
      <w:lvlJc w:val="left"/>
      <w:pPr>
        <w:ind w:left="720" w:hanging="360"/>
      </w:pPr>
    </w:lvl>
    <w:lvl w:ilvl="1">
      <w:start w:val="2"/>
      <w:numFmt w:val="decimal"/>
      <w:lvlText w:val="%1.%2."/>
      <w:lvlJc w:val="left"/>
      <w:pPr>
        <w:ind w:left="644" w:hanging="359"/>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E2B1CB8"/>
    <w:multiLevelType w:val="multilevel"/>
    <w:tmpl w:val="CD70C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AB"/>
    <w:rsid w:val="00024BFA"/>
    <w:rsid w:val="002F4CCA"/>
    <w:rsid w:val="004108F9"/>
    <w:rsid w:val="00623C0A"/>
    <w:rsid w:val="00652348"/>
    <w:rsid w:val="006A45C1"/>
    <w:rsid w:val="007A695B"/>
    <w:rsid w:val="00837B27"/>
    <w:rsid w:val="008739E6"/>
    <w:rsid w:val="00884337"/>
    <w:rsid w:val="008B5353"/>
    <w:rsid w:val="009A7E3E"/>
    <w:rsid w:val="00AA7D8C"/>
    <w:rsid w:val="00B5202B"/>
    <w:rsid w:val="00B54FE9"/>
    <w:rsid w:val="00C84D50"/>
    <w:rsid w:val="00D2659B"/>
    <w:rsid w:val="00D66579"/>
    <w:rsid w:val="00EA2D55"/>
    <w:rsid w:val="00F3073A"/>
    <w:rsid w:val="00FC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0C22"/>
  <w15:docId w15:val="{60FA44BC-3137-42C6-8F27-F4430783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D8C"/>
  </w:style>
  <w:style w:type="paragraph" w:styleId="Heading1">
    <w:name w:val="heading 1"/>
    <w:basedOn w:val="Normal"/>
    <w:next w:val="Normal"/>
    <w:link w:val="Heading1Char"/>
    <w:uiPriority w:val="9"/>
    <w:qFormat/>
    <w:pPr>
      <w:keepNext/>
      <w:keepLines/>
      <w:spacing w:before="480" w:after="0" w:line="276" w:lineRule="auto"/>
      <w:outlineLvl w:val="0"/>
    </w:pPr>
    <w:rPr>
      <w:b/>
      <w:color w:val="2F549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77231"/>
    <w:rPr>
      <w:rFonts w:asciiTheme="majorHAnsi" w:eastAsiaTheme="majorEastAsia" w:hAnsiTheme="majorHAnsi" w:cstheme="majorBidi"/>
      <w:b/>
      <w:bCs/>
      <w:color w:val="2F5496" w:themeColor="accent1" w:themeShade="BF"/>
      <w:sz w:val="28"/>
      <w:szCs w:val="28"/>
      <w:lang w:val="en-US"/>
    </w:rPr>
  </w:style>
  <w:style w:type="paragraph" w:styleId="FootnoteText">
    <w:name w:val="footnote text"/>
    <w:basedOn w:val="Normal"/>
    <w:link w:val="FootnoteTextChar"/>
    <w:uiPriority w:val="99"/>
    <w:semiHidden/>
    <w:unhideWhenUsed/>
    <w:rsid w:val="00577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231"/>
    <w:rPr>
      <w:sz w:val="20"/>
      <w:szCs w:val="20"/>
      <w:lang w:val="en-US"/>
    </w:rPr>
  </w:style>
  <w:style w:type="paragraph" w:styleId="ListParagraph">
    <w:name w:val="List Paragraph"/>
    <w:basedOn w:val="Normal"/>
    <w:uiPriority w:val="34"/>
    <w:qFormat/>
    <w:rsid w:val="00577231"/>
    <w:pPr>
      <w:ind w:left="720"/>
      <w:contextualSpacing/>
    </w:pPr>
  </w:style>
  <w:style w:type="character" w:styleId="FootnoteReference">
    <w:name w:val="footnote reference"/>
    <w:basedOn w:val="DefaultParagraphFont"/>
    <w:uiPriority w:val="99"/>
    <w:semiHidden/>
    <w:unhideWhenUsed/>
    <w:rsid w:val="00577231"/>
    <w:rPr>
      <w:vertAlign w:val="superscript"/>
    </w:rPr>
  </w:style>
  <w:style w:type="character" w:styleId="Hyperlink">
    <w:name w:val="Hyperlink"/>
    <w:basedOn w:val="DefaultParagraphFont"/>
    <w:uiPriority w:val="99"/>
    <w:unhideWhenUsed/>
    <w:rsid w:val="00577231"/>
    <w:rPr>
      <w:color w:val="0563C1" w:themeColor="hyperlink"/>
      <w:u w:val="single"/>
    </w:rPr>
  </w:style>
  <w:style w:type="character" w:styleId="UnresolvedMention">
    <w:name w:val="Unresolved Mention"/>
    <w:basedOn w:val="DefaultParagraphFont"/>
    <w:uiPriority w:val="99"/>
    <w:semiHidden/>
    <w:unhideWhenUsed/>
    <w:rsid w:val="00577231"/>
    <w:rPr>
      <w:color w:val="605E5C"/>
      <w:shd w:val="clear" w:color="auto" w:fill="E1DFDD"/>
    </w:rPr>
  </w:style>
  <w:style w:type="paragraph" w:styleId="Header">
    <w:name w:val="header"/>
    <w:basedOn w:val="Normal"/>
    <w:link w:val="HeaderChar"/>
    <w:uiPriority w:val="99"/>
    <w:unhideWhenUsed/>
    <w:rsid w:val="00940135"/>
    <w:pPr>
      <w:tabs>
        <w:tab w:val="center" w:pos="4419"/>
        <w:tab w:val="right" w:pos="8838"/>
      </w:tabs>
      <w:spacing w:after="0" w:line="240" w:lineRule="auto"/>
    </w:pPr>
  </w:style>
  <w:style w:type="character" w:customStyle="1" w:styleId="HeaderChar">
    <w:name w:val="Header Char"/>
    <w:basedOn w:val="DefaultParagraphFont"/>
    <w:link w:val="Header"/>
    <w:uiPriority w:val="99"/>
    <w:rsid w:val="00940135"/>
    <w:rPr>
      <w:lang w:val="en-US"/>
    </w:rPr>
  </w:style>
  <w:style w:type="paragraph" w:styleId="Footer">
    <w:name w:val="footer"/>
    <w:basedOn w:val="Normal"/>
    <w:link w:val="FooterChar"/>
    <w:uiPriority w:val="99"/>
    <w:unhideWhenUsed/>
    <w:rsid w:val="00940135"/>
    <w:pPr>
      <w:tabs>
        <w:tab w:val="center" w:pos="4419"/>
        <w:tab w:val="right" w:pos="8838"/>
      </w:tabs>
      <w:spacing w:after="0" w:line="240" w:lineRule="auto"/>
    </w:pPr>
  </w:style>
  <w:style w:type="character" w:customStyle="1" w:styleId="FooterChar">
    <w:name w:val="Footer Char"/>
    <w:basedOn w:val="DefaultParagraphFont"/>
    <w:link w:val="Footer"/>
    <w:uiPriority w:val="99"/>
    <w:rsid w:val="00940135"/>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9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4BFA"/>
    <w:rPr>
      <w:b/>
      <w:bCs/>
    </w:rPr>
  </w:style>
  <w:style w:type="character" w:customStyle="1" w:styleId="CommentSubjectChar">
    <w:name w:val="Comment Subject Char"/>
    <w:basedOn w:val="CommentTextChar"/>
    <w:link w:val="CommentSubject"/>
    <w:uiPriority w:val="99"/>
    <w:semiHidden/>
    <w:rsid w:val="00024B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034868">
      <w:bodyDiv w:val="1"/>
      <w:marLeft w:val="0"/>
      <w:marRight w:val="0"/>
      <w:marTop w:val="0"/>
      <w:marBottom w:val="0"/>
      <w:divBdr>
        <w:top w:val="none" w:sz="0" w:space="0" w:color="auto"/>
        <w:left w:val="none" w:sz="0" w:space="0" w:color="auto"/>
        <w:bottom w:val="none" w:sz="0" w:space="0" w:color="auto"/>
        <w:right w:val="none" w:sz="0" w:space="0" w:color="auto"/>
      </w:divBdr>
      <w:divsChild>
        <w:div w:id="1870138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mbio.ops.brasil@bbv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cb.gov.br/content/estabilidadefinanceira/cambiocapitais/operacoes_cambio/Notas_auxiliares_Geral%20a%20partir%20de%20nov2023.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cb.gov.br/content/estabilidadefinanceira/cambiocapitais/operacoes_cambio/Notas_auxiliares_50k%20a%20partir%20de%20nov2023.pdf" TargetMode="External"/><Relationship Id="rId4" Type="http://schemas.openxmlformats.org/officeDocument/2006/relationships/styles" Target="styles.xml"/><Relationship Id="rId9" Type="http://schemas.openxmlformats.org/officeDocument/2006/relationships/hyperlink" Target="https://www.bcb.gov.br/estabilidadefinanceira/operacoes-de-camb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FgUCffRyMwjS7LS8OSmo7VGaw==">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FA4132-02B8-4C4F-8D06-74BB3182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BBVA</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JACINTO ,MATHEUS</dc:creator>
  <cp:lastModifiedBy>DELASCIO ,MARIANA</cp:lastModifiedBy>
  <cp:revision>5</cp:revision>
  <dcterms:created xsi:type="dcterms:W3CDTF">2025-09-26T19:19:00Z</dcterms:created>
  <dcterms:modified xsi:type="dcterms:W3CDTF">2025-10-07T15:24:00Z</dcterms:modified>
</cp:coreProperties>
</file>